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C27A9" w14:textId="740826D3" w:rsidR="002F1C3C" w:rsidRPr="002F1C3C" w:rsidRDefault="00387029" w:rsidP="002F1C3C">
      <w:pPr>
        <w:pStyle w:val="Title"/>
      </w:pPr>
      <w:r w:rsidRPr="00387029">
        <w:t>ECB staff macroeconomic projections for the euro area</w:t>
      </w:r>
      <w:r w:rsidR="002F1C3C" w:rsidRPr="002F1C3C">
        <w:t xml:space="preserve"> </w:t>
      </w:r>
    </w:p>
    <w:p w14:paraId="61EB4AFA" w14:textId="7901C30E" w:rsidR="002F1C3C" w:rsidRPr="002F1C3C" w:rsidRDefault="00E14986" w:rsidP="002F1C3C">
      <w:pPr>
        <w:pStyle w:val="Publicationdate"/>
        <w:framePr w:wrap="around"/>
      </w:pPr>
      <w:r>
        <w:t xml:space="preserve">March </w:t>
      </w:r>
      <w:r w:rsidR="0067591A">
        <w:t>202</w:t>
      </w:r>
      <w:r>
        <w:t>6</w:t>
      </w:r>
    </w:p>
    <w:p w14:paraId="41F490A9" w14:textId="623EBB2D" w:rsidR="00BB4805" w:rsidRPr="002F1C3C" w:rsidRDefault="00BB4805" w:rsidP="002F1C3C">
      <w:pPr>
        <w:sectPr w:rsidR="00BB4805" w:rsidRPr="002F1C3C" w:rsidSect="002F1C3C">
          <w:headerReference w:type="even" r:id="rId12"/>
          <w:headerReference w:type="default" r:id="rId13"/>
          <w:footerReference w:type="default" r:id="rId14"/>
          <w:headerReference w:type="first" r:id="rId15"/>
          <w:pgSz w:w="11907" w:h="16840" w:code="9"/>
          <w:pgMar w:top="3742" w:right="1134" w:bottom="7371" w:left="5585" w:header="2551" w:footer="425" w:gutter="0"/>
          <w:cols w:space="720"/>
          <w:docGrid w:linePitch="326"/>
        </w:sectPr>
      </w:pPr>
    </w:p>
    <w:p w14:paraId="5E5E8480" w14:textId="77777777" w:rsidR="002F1C3C" w:rsidRPr="002F1C3C" w:rsidRDefault="002F1C3C" w:rsidP="002F1C3C">
      <w:pPr>
        <w:pStyle w:val="TOCHeading"/>
      </w:pPr>
      <w:r w:rsidRPr="002F1C3C">
        <w:lastRenderedPageBreak/>
        <w:t>Contents</w:t>
      </w:r>
    </w:p>
    <w:p w14:paraId="556C1EE6" w14:textId="191A1895" w:rsidR="00B234D0" w:rsidRDefault="002F1C3C">
      <w:pPr>
        <w:pStyle w:val="TOC1"/>
        <w:rPr>
          <w:rFonts w:asciiTheme="minorHAnsi" w:eastAsiaTheme="minorEastAsia" w:hAnsiTheme="minorHAnsi" w:cstheme="minorBidi"/>
          <w:b w:val="0"/>
          <w:bCs w:val="0"/>
          <w:noProof/>
          <w:color w:val="auto"/>
          <w:kern w:val="2"/>
          <w:sz w:val="24"/>
          <w:szCs w:val="24"/>
          <w14:ligatures w14:val="standardContextual"/>
        </w:rPr>
      </w:pPr>
      <w:r w:rsidRPr="002F1C3C">
        <w:rPr>
          <w:rFonts w:eastAsiaTheme="minorEastAsia"/>
        </w:rPr>
        <w:fldChar w:fldCharType="begin"/>
      </w:r>
      <w:r w:rsidRPr="002F1C3C">
        <w:instrText xml:space="preserve"> TOC \o "1-2" \h \z \u </w:instrText>
      </w:r>
      <w:r w:rsidRPr="002F1C3C">
        <w:rPr>
          <w:rFonts w:eastAsiaTheme="minorEastAsia"/>
        </w:rPr>
        <w:fldChar w:fldCharType="separate"/>
      </w:r>
      <w:hyperlink w:anchor="_Toc224823007" w:history="1">
        <w:r w:rsidR="00B234D0" w:rsidRPr="00E618EF">
          <w:rPr>
            <w:rStyle w:val="Hyperlink"/>
            <w:noProof/>
          </w:rPr>
          <w:t>1</w:t>
        </w:r>
        <w:r w:rsidR="00B234D0">
          <w:rPr>
            <w:rFonts w:asciiTheme="minorHAnsi" w:eastAsiaTheme="minorEastAsia" w:hAnsiTheme="minorHAnsi" w:cstheme="minorBidi"/>
            <w:b w:val="0"/>
            <w:bCs w:val="0"/>
            <w:noProof/>
            <w:color w:val="auto"/>
            <w:kern w:val="2"/>
            <w:sz w:val="24"/>
            <w:szCs w:val="24"/>
            <w14:ligatures w14:val="standardContextual"/>
          </w:rPr>
          <w:tab/>
        </w:r>
        <w:r w:rsidR="00B234D0" w:rsidRPr="00E618EF">
          <w:rPr>
            <w:rStyle w:val="Hyperlink"/>
            <w:noProof/>
          </w:rPr>
          <w:t>Overview</w:t>
        </w:r>
        <w:r w:rsidR="00B234D0">
          <w:rPr>
            <w:noProof/>
            <w:webHidden/>
          </w:rPr>
          <w:tab/>
        </w:r>
        <w:r w:rsidR="00B234D0">
          <w:rPr>
            <w:noProof/>
            <w:webHidden/>
          </w:rPr>
          <w:fldChar w:fldCharType="begin"/>
        </w:r>
        <w:r w:rsidR="00B234D0">
          <w:rPr>
            <w:noProof/>
            <w:webHidden/>
          </w:rPr>
          <w:instrText xml:space="preserve"> PAGEREF _Toc224823007 \h </w:instrText>
        </w:r>
        <w:r w:rsidR="00B234D0">
          <w:rPr>
            <w:noProof/>
            <w:webHidden/>
          </w:rPr>
        </w:r>
        <w:r w:rsidR="00B234D0">
          <w:rPr>
            <w:noProof/>
            <w:webHidden/>
          </w:rPr>
          <w:fldChar w:fldCharType="separate"/>
        </w:r>
        <w:r w:rsidR="00B234D0">
          <w:rPr>
            <w:noProof/>
            <w:webHidden/>
          </w:rPr>
          <w:t>2</w:t>
        </w:r>
        <w:r w:rsidR="00B234D0">
          <w:rPr>
            <w:noProof/>
            <w:webHidden/>
          </w:rPr>
          <w:fldChar w:fldCharType="end"/>
        </w:r>
      </w:hyperlink>
    </w:p>
    <w:p w14:paraId="2FEA3167" w14:textId="0CC2FBF9" w:rsidR="00B234D0" w:rsidRDefault="00B234D0">
      <w:pPr>
        <w:pStyle w:val="TOC1"/>
        <w:rPr>
          <w:rFonts w:asciiTheme="minorHAnsi" w:eastAsiaTheme="minorEastAsia" w:hAnsiTheme="minorHAnsi" w:cstheme="minorBidi"/>
          <w:b w:val="0"/>
          <w:bCs w:val="0"/>
          <w:noProof/>
          <w:color w:val="auto"/>
          <w:kern w:val="2"/>
          <w:sz w:val="24"/>
          <w:szCs w:val="24"/>
          <w14:ligatures w14:val="standardContextual"/>
        </w:rPr>
      </w:pPr>
      <w:hyperlink w:anchor="_Toc224823008" w:history="1">
        <w:r w:rsidRPr="00E618EF">
          <w:rPr>
            <w:rStyle w:val="Hyperlink"/>
            <w:noProof/>
          </w:rPr>
          <w:t>2</w:t>
        </w:r>
        <w:r>
          <w:rPr>
            <w:rFonts w:asciiTheme="minorHAnsi" w:eastAsiaTheme="minorEastAsia" w:hAnsiTheme="minorHAnsi" w:cstheme="minorBidi"/>
            <w:b w:val="0"/>
            <w:bCs w:val="0"/>
            <w:noProof/>
            <w:color w:val="auto"/>
            <w:kern w:val="2"/>
            <w:sz w:val="24"/>
            <w:szCs w:val="24"/>
            <w14:ligatures w14:val="standardContextual"/>
          </w:rPr>
          <w:tab/>
        </w:r>
        <w:r w:rsidRPr="00E618EF">
          <w:rPr>
            <w:rStyle w:val="Hyperlink"/>
            <w:noProof/>
          </w:rPr>
          <w:t>Macroeconomic projections for the euro area economy – baseline assessment</w:t>
        </w:r>
        <w:r>
          <w:rPr>
            <w:noProof/>
            <w:webHidden/>
          </w:rPr>
          <w:tab/>
        </w:r>
        <w:r>
          <w:rPr>
            <w:noProof/>
            <w:webHidden/>
          </w:rPr>
          <w:fldChar w:fldCharType="begin"/>
        </w:r>
        <w:r>
          <w:rPr>
            <w:noProof/>
            <w:webHidden/>
          </w:rPr>
          <w:instrText xml:space="preserve"> PAGEREF _Toc224823008 \h </w:instrText>
        </w:r>
        <w:r>
          <w:rPr>
            <w:noProof/>
            <w:webHidden/>
          </w:rPr>
        </w:r>
        <w:r>
          <w:rPr>
            <w:noProof/>
            <w:webHidden/>
          </w:rPr>
          <w:fldChar w:fldCharType="separate"/>
        </w:r>
        <w:r>
          <w:rPr>
            <w:noProof/>
            <w:webHidden/>
          </w:rPr>
          <w:t>6</w:t>
        </w:r>
        <w:r>
          <w:rPr>
            <w:noProof/>
            <w:webHidden/>
          </w:rPr>
          <w:fldChar w:fldCharType="end"/>
        </w:r>
      </w:hyperlink>
    </w:p>
    <w:p w14:paraId="4675F9B6" w14:textId="27561F70" w:rsidR="00B234D0" w:rsidRDefault="00B234D0">
      <w:pPr>
        <w:pStyle w:val="TOC2"/>
        <w:tabs>
          <w:tab w:val="left" w:pos="1134"/>
        </w:tabs>
        <w:rPr>
          <w:rFonts w:asciiTheme="minorHAnsi" w:eastAsiaTheme="minorEastAsia" w:hAnsiTheme="minorHAnsi" w:cstheme="minorBidi"/>
          <w:bCs w:val="0"/>
          <w:color w:val="auto"/>
          <w:kern w:val="2"/>
          <w:sz w:val="24"/>
          <w:szCs w:val="24"/>
          <w14:ligatures w14:val="standardContextual"/>
        </w:rPr>
      </w:pPr>
      <w:hyperlink w:anchor="_Toc224823009" w:history="1">
        <w:r w:rsidRPr="00E618EF">
          <w:rPr>
            <w:rStyle w:val="Hyperlink"/>
          </w:rPr>
          <w:t>2.1</w:t>
        </w:r>
        <w:r>
          <w:rPr>
            <w:rFonts w:asciiTheme="minorHAnsi" w:eastAsiaTheme="minorEastAsia" w:hAnsiTheme="minorHAnsi" w:cstheme="minorBidi"/>
            <w:bCs w:val="0"/>
            <w:color w:val="auto"/>
            <w:kern w:val="2"/>
            <w:sz w:val="24"/>
            <w:szCs w:val="24"/>
            <w14:ligatures w14:val="standardContextual"/>
          </w:rPr>
          <w:tab/>
        </w:r>
        <w:r w:rsidRPr="00E618EF">
          <w:rPr>
            <w:rStyle w:val="Hyperlink"/>
          </w:rPr>
          <w:t>Real economy</w:t>
        </w:r>
        <w:r>
          <w:rPr>
            <w:webHidden/>
          </w:rPr>
          <w:tab/>
        </w:r>
        <w:r>
          <w:rPr>
            <w:webHidden/>
          </w:rPr>
          <w:fldChar w:fldCharType="begin"/>
        </w:r>
        <w:r>
          <w:rPr>
            <w:webHidden/>
          </w:rPr>
          <w:instrText xml:space="preserve"> PAGEREF _Toc224823009 \h </w:instrText>
        </w:r>
        <w:r>
          <w:rPr>
            <w:webHidden/>
          </w:rPr>
        </w:r>
        <w:r>
          <w:rPr>
            <w:webHidden/>
          </w:rPr>
          <w:fldChar w:fldCharType="separate"/>
        </w:r>
        <w:r>
          <w:rPr>
            <w:webHidden/>
          </w:rPr>
          <w:t>6</w:t>
        </w:r>
        <w:r>
          <w:rPr>
            <w:webHidden/>
          </w:rPr>
          <w:fldChar w:fldCharType="end"/>
        </w:r>
      </w:hyperlink>
    </w:p>
    <w:p w14:paraId="36F984EC" w14:textId="6E7E96BF" w:rsidR="00B234D0" w:rsidRDefault="00B234D0">
      <w:pPr>
        <w:pStyle w:val="TOC2"/>
        <w:rPr>
          <w:rFonts w:asciiTheme="minorHAnsi" w:eastAsiaTheme="minorEastAsia" w:hAnsiTheme="minorHAnsi" w:cstheme="minorBidi"/>
          <w:bCs w:val="0"/>
          <w:color w:val="auto"/>
          <w:kern w:val="2"/>
          <w:sz w:val="24"/>
          <w:szCs w:val="24"/>
          <w14:ligatures w14:val="standardContextual"/>
        </w:rPr>
      </w:pPr>
      <w:hyperlink w:anchor="_Toc224823010" w:history="1">
        <w:r w:rsidRPr="00E618EF">
          <w:rPr>
            <w:rStyle w:val="Hyperlink"/>
            <w:b/>
            <w:iCs/>
          </w:rPr>
          <w:t xml:space="preserve">Box 1 </w:t>
        </w:r>
        <w:r w:rsidRPr="00E618EF">
          <w:rPr>
            <w:rStyle w:val="Hyperlink"/>
          </w:rPr>
          <w:t>International environment</w:t>
        </w:r>
        <w:r>
          <w:rPr>
            <w:webHidden/>
          </w:rPr>
          <w:tab/>
        </w:r>
        <w:r>
          <w:rPr>
            <w:webHidden/>
          </w:rPr>
          <w:fldChar w:fldCharType="begin"/>
        </w:r>
        <w:r>
          <w:rPr>
            <w:webHidden/>
          </w:rPr>
          <w:instrText xml:space="preserve"> PAGEREF _Toc224823010 \h </w:instrText>
        </w:r>
        <w:r>
          <w:rPr>
            <w:webHidden/>
          </w:rPr>
        </w:r>
        <w:r>
          <w:rPr>
            <w:webHidden/>
          </w:rPr>
          <w:fldChar w:fldCharType="separate"/>
        </w:r>
        <w:r>
          <w:rPr>
            <w:webHidden/>
          </w:rPr>
          <w:t>11</w:t>
        </w:r>
        <w:r>
          <w:rPr>
            <w:webHidden/>
          </w:rPr>
          <w:fldChar w:fldCharType="end"/>
        </w:r>
      </w:hyperlink>
    </w:p>
    <w:p w14:paraId="1D6D285B" w14:textId="435205D1" w:rsidR="00B234D0" w:rsidRDefault="00B234D0">
      <w:pPr>
        <w:pStyle w:val="TOC2"/>
        <w:rPr>
          <w:rFonts w:asciiTheme="minorHAnsi" w:eastAsiaTheme="minorEastAsia" w:hAnsiTheme="minorHAnsi" w:cstheme="minorBidi"/>
          <w:bCs w:val="0"/>
          <w:color w:val="auto"/>
          <w:kern w:val="2"/>
          <w:sz w:val="24"/>
          <w:szCs w:val="24"/>
          <w14:ligatures w14:val="standardContextual"/>
        </w:rPr>
      </w:pPr>
      <w:hyperlink w:anchor="_Toc224823011" w:history="1">
        <w:r w:rsidRPr="00E618EF">
          <w:rPr>
            <w:rStyle w:val="Hyperlink"/>
            <w:b/>
            <w:iCs/>
          </w:rPr>
          <w:t xml:space="preserve">Box 2 </w:t>
        </w:r>
        <w:r w:rsidRPr="00E618EF">
          <w:rPr>
            <w:rStyle w:val="Hyperlink"/>
          </w:rPr>
          <w:t>Technical assumptions and assumptions about tariffs</w:t>
        </w:r>
        <w:r>
          <w:rPr>
            <w:webHidden/>
          </w:rPr>
          <w:tab/>
        </w:r>
        <w:r>
          <w:rPr>
            <w:webHidden/>
          </w:rPr>
          <w:fldChar w:fldCharType="begin"/>
        </w:r>
        <w:r>
          <w:rPr>
            <w:webHidden/>
          </w:rPr>
          <w:instrText xml:space="preserve"> PAGEREF _Toc224823011 \h </w:instrText>
        </w:r>
        <w:r>
          <w:rPr>
            <w:webHidden/>
          </w:rPr>
        </w:r>
        <w:r>
          <w:rPr>
            <w:webHidden/>
          </w:rPr>
          <w:fldChar w:fldCharType="separate"/>
        </w:r>
        <w:r>
          <w:rPr>
            <w:webHidden/>
          </w:rPr>
          <w:t>12</w:t>
        </w:r>
        <w:r>
          <w:rPr>
            <w:webHidden/>
          </w:rPr>
          <w:fldChar w:fldCharType="end"/>
        </w:r>
      </w:hyperlink>
    </w:p>
    <w:p w14:paraId="7FB1DDA2" w14:textId="2D58553F" w:rsidR="00B234D0" w:rsidRDefault="00B234D0">
      <w:pPr>
        <w:pStyle w:val="TOC2"/>
        <w:tabs>
          <w:tab w:val="left" w:pos="1134"/>
        </w:tabs>
        <w:rPr>
          <w:rFonts w:asciiTheme="minorHAnsi" w:eastAsiaTheme="minorEastAsia" w:hAnsiTheme="minorHAnsi" w:cstheme="minorBidi"/>
          <w:bCs w:val="0"/>
          <w:color w:val="auto"/>
          <w:kern w:val="2"/>
          <w:sz w:val="24"/>
          <w:szCs w:val="24"/>
          <w14:ligatures w14:val="standardContextual"/>
        </w:rPr>
      </w:pPr>
      <w:hyperlink w:anchor="_Toc224823012" w:history="1">
        <w:r w:rsidRPr="00E618EF">
          <w:rPr>
            <w:rStyle w:val="Hyperlink"/>
          </w:rPr>
          <w:t>2.2</w:t>
        </w:r>
        <w:r>
          <w:rPr>
            <w:rFonts w:asciiTheme="minorHAnsi" w:eastAsiaTheme="minorEastAsia" w:hAnsiTheme="minorHAnsi" w:cstheme="minorBidi"/>
            <w:bCs w:val="0"/>
            <w:color w:val="auto"/>
            <w:kern w:val="2"/>
            <w:sz w:val="24"/>
            <w:szCs w:val="24"/>
            <w14:ligatures w14:val="standardContextual"/>
          </w:rPr>
          <w:tab/>
        </w:r>
        <w:r w:rsidRPr="00E618EF">
          <w:rPr>
            <w:rStyle w:val="Hyperlink"/>
          </w:rPr>
          <w:t>Prices and costs</w:t>
        </w:r>
        <w:r>
          <w:rPr>
            <w:webHidden/>
          </w:rPr>
          <w:tab/>
        </w:r>
        <w:r>
          <w:rPr>
            <w:webHidden/>
          </w:rPr>
          <w:fldChar w:fldCharType="begin"/>
        </w:r>
        <w:r>
          <w:rPr>
            <w:webHidden/>
          </w:rPr>
          <w:instrText xml:space="preserve"> PAGEREF _Toc224823012 \h </w:instrText>
        </w:r>
        <w:r>
          <w:rPr>
            <w:webHidden/>
          </w:rPr>
        </w:r>
        <w:r>
          <w:rPr>
            <w:webHidden/>
          </w:rPr>
          <w:fldChar w:fldCharType="separate"/>
        </w:r>
        <w:r>
          <w:rPr>
            <w:webHidden/>
          </w:rPr>
          <w:t>14</w:t>
        </w:r>
        <w:r>
          <w:rPr>
            <w:webHidden/>
          </w:rPr>
          <w:fldChar w:fldCharType="end"/>
        </w:r>
      </w:hyperlink>
    </w:p>
    <w:p w14:paraId="659080FE" w14:textId="7B56C763" w:rsidR="00B234D0" w:rsidRDefault="00B234D0">
      <w:pPr>
        <w:pStyle w:val="TOC2"/>
        <w:rPr>
          <w:rFonts w:asciiTheme="minorHAnsi" w:eastAsiaTheme="minorEastAsia" w:hAnsiTheme="minorHAnsi" w:cstheme="minorBidi"/>
          <w:bCs w:val="0"/>
          <w:color w:val="auto"/>
          <w:kern w:val="2"/>
          <w:sz w:val="24"/>
          <w:szCs w:val="24"/>
          <w14:ligatures w14:val="standardContextual"/>
        </w:rPr>
      </w:pPr>
      <w:hyperlink w:anchor="_Toc224823013" w:history="1">
        <w:r w:rsidRPr="00E618EF">
          <w:rPr>
            <w:rStyle w:val="Hyperlink"/>
            <w:b/>
            <w:iCs/>
          </w:rPr>
          <w:t xml:space="preserve">Box 3 </w:t>
        </w:r>
        <w:r w:rsidRPr="00E618EF">
          <w:rPr>
            <w:rStyle w:val="Hyperlink"/>
          </w:rPr>
          <w:t>Fiscal outlook</w:t>
        </w:r>
        <w:r>
          <w:rPr>
            <w:webHidden/>
          </w:rPr>
          <w:tab/>
        </w:r>
        <w:r>
          <w:rPr>
            <w:webHidden/>
          </w:rPr>
          <w:fldChar w:fldCharType="begin"/>
        </w:r>
        <w:r>
          <w:rPr>
            <w:webHidden/>
          </w:rPr>
          <w:instrText xml:space="preserve"> PAGEREF _Toc224823013 \h </w:instrText>
        </w:r>
        <w:r>
          <w:rPr>
            <w:webHidden/>
          </w:rPr>
        </w:r>
        <w:r>
          <w:rPr>
            <w:webHidden/>
          </w:rPr>
          <w:fldChar w:fldCharType="separate"/>
        </w:r>
        <w:r>
          <w:rPr>
            <w:webHidden/>
          </w:rPr>
          <w:t>21</w:t>
        </w:r>
        <w:r>
          <w:rPr>
            <w:webHidden/>
          </w:rPr>
          <w:fldChar w:fldCharType="end"/>
        </w:r>
      </w:hyperlink>
    </w:p>
    <w:p w14:paraId="73B174E6" w14:textId="78405216" w:rsidR="00B234D0" w:rsidRDefault="00B234D0">
      <w:pPr>
        <w:pStyle w:val="TOC1"/>
        <w:rPr>
          <w:rFonts w:asciiTheme="minorHAnsi" w:eastAsiaTheme="minorEastAsia" w:hAnsiTheme="minorHAnsi" w:cstheme="minorBidi"/>
          <w:b w:val="0"/>
          <w:bCs w:val="0"/>
          <w:noProof/>
          <w:color w:val="auto"/>
          <w:kern w:val="2"/>
          <w:sz w:val="24"/>
          <w:szCs w:val="24"/>
          <w14:ligatures w14:val="standardContextual"/>
        </w:rPr>
      </w:pPr>
      <w:hyperlink w:anchor="_Toc224823014" w:history="1">
        <w:r w:rsidRPr="00E618EF">
          <w:rPr>
            <w:rStyle w:val="Hyperlink"/>
            <w:noProof/>
          </w:rPr>
          <w:t>3</w:t>
        </w:r>
        <w:r>
          <w:rPr>
            <w:rFonts w:asciiTheme="minorHAnsi" w:eastAsiaTheme="minorEastAsia" w:hAnsiTheme="minorHAnsi" w:cstheme="minorBidi"/>
            <w:b w:val="0"/>
            <w:bCs w:val="0"/>
            <w:noProof/>
            <w:color w:val="auto"/>
            <w:kern w:val="2"/>
            <w:sz w:val="24"/>
            <w:szCs w:val="24"/>
            <w14:ligatures w14:val="standardContextual"/>
          </w:rPr>
          <w:tab/>
        </w:r>
        <w:r w:rsidRPr="00E618EF">
          <w:rPr>
            <w:rStyle w:val="Hyperlink"/>
            <w:noProof/>
          </w:rPr>
          <w:t>Alternative scenarios for the economic implications of the war in the Middle East</w:t>
        </w:r>
        <w:r>
          <w:rPr>
            <w:noProof/>
            <w:webHidden/>
          </w:rPr>
          <w:tab/>
        </w:r>
        <w:r>
          <w:rPr>
            <w:noProof/>
            <w:webHidden/>
          </w:rPr>
          <w:fldChar w:fldCharType="begin"/>
        </w:r>
        <w:r>
          <w:rPr>
            <w:noProof/>
            <w:webHidden/>
          </w:rPr>
          <w:instrText xml:space="preserve"> PAGEREF _Toc224823014 \h </w:instrText>
        </w:r>
        <w:r>
          <w:rPr>
            <w:noProof/>
            <w:webHidden/>
          </w:rPr>
        </w:r>
        <w:r>
          <w:rPr>
            <w:noProof/>
            <w:webHidden/>
          </w:rPr>
          <w:fldChar w:fldCharType="separate"/>
        </w:r>
        <w:r>
          <w:rPr>
            <w:noProof/>
            <w:webHidden/>
          </w:rPr>
          <w:t>23</w:t>
        </w:r>
        <w:r>
          <w:rPr>
            <w:noProof/>
            <w:webHidden/>
          </w:rPr>
          <w:fldChar w:fldCharType="end"/>
        </w:r>
      </w:hyperlink>
    </w:p>
    <w:p w14:paraId="79DE9995" w14:textId="6D0813E0" w:rsidR="00B234D0" w:rsidRDefault="00B234D0">
      <w:pPr>
        <w:pStyle w:val="TOC2"/>
        <w:tabs>
          <w:tab w:val="left" w:pos="1134"/>
        </w:tabs>
        <w:rPr>
          <w:rFonts w:asciiTheme="minorHAnsi" w:eastAsiaTheme="minorEastAsia" w:hAnsiTheme="minorHAnsi" w:cstheme="minorBidi"/>
          <w:bCs w:val="0"/>
          <w:color w:val="auto"/>
          <w:kern w:val="2"/>
          <w:sz w:val="24"/>
          <w:szCs w:val="24"/>
          <w14:ligatures w14:val="standardContextual"/>
        </w:rPr>
      </w:pPr>
      <w:hyperlink w:anchor="_Toc224823015" w:history="1">
        <w:r w:rsidRPr="00E618EF">
          <w:rPr>
            <w:rStyle w:val="Hyperlink"/>
          </w:rPr>
          <w:t>3.1</w:t>
        </w:r>
        <w:r>
          <w:rPr>
            <w:rFonts w:asciiTheme="minorHAnsi" w:eastAsiaTheme="minorEastAsia" w:hAnsiTheme="minorHAnsi" w:cstheme="minorBidi"/>
            <w:bCs w:val="0"/>
            <w:color w:val="auto"/>
            <w:kern w:val="2"/>
            <w:sz w:val="24"/>
            <w:szCs w:val="24"/>
            <w14:ligatures w14:val="standardContextual"/>
          </w:rPr>
          <w:tab/>
        </w:r>
        <w:r w:rsidRPr="00E618EF">
          <w:rPr>
            <w:rStyle w:val="Hyperlink"/>
          </w:rPr>
          <w:t>Overview of the alternative scenario narratives</w:t>
        </w:r>
        <w:r>
          <w:rPr>
            <w:webHidden/>
          </w:rPr>
          <w:tab/>
        </w:r>
        <w:r>
          <w:rPr>
            <w:webHidden/>
          </w:rPr>
          <w:fldChar w:fldCharType="begin"/>
        </w:r>
        <w:r>
          <w:rPr>
            <w:webHidden/>
          </w:rPr>
          <w:instrText xml:space="preserve"> PAGEREF _Toc224823015 \h </w:instrText>
        </w:r>
        <w:r>
          <w:rPr>
            <w:webHidden/>
          </w:rPr>
        </w:r>
        <w:r>
          <w:rPr>
            <w:webHidden/>
          </w:rPr>
          <w:fldChar w:fldCharType="separate"/>
        </w:r>
        <w:r>
          <w:rPr>
            <w:webHidden/>
          </w:rPr>
          <w:t>23</w:t>
        </w:r>
        <w:r>
          <w:rPr>
            <w:webHidden/>
          </w:rPr>
          <w:fldChar w:fldCharType="end"/>
        </w:r>
      </w:hyperlink>
    </w:p>
    <w:p w14:paraId="6BB6D70C" w14:textId="21F1C319" w:rsidR="00B234D0" w:rsidRDefault="00B234D0">
      <w:pPr>
        <w:pStyle w:val="TOC2"/>
        <w:tabs>
          <w:tab w:val="left" w:pos="1134"/>
        </w:tabs>
        <w:rPr>
          <w:rFonts w:asciiTheme="minorHAnsi" w:eastAsiaTheme="minorEastAsia" w:hAnsiTheme="minorHAnsi" w:cstheme="minorBidi"/>
          <w:bCs w:val="0"/>
          <w:color w:val="auto"/>
          <w:kern w:val="2"/>
          <w:sz w:val="24"/>
          <w:szCs w:val="24"/>
          <w14:ligatures w14:val="standardContextual"/>
        </w:rPr>
      </w:pPr>
      <w:hyperlink w:anchor="_Toc224823016" w:history="1">
        <w:r w:rsidRPr="00E618EF">
          <w:rPr>
            <w:rStyle w:val="Hyperlink"/>
          </w:rPr>
          <w:t>3.2</w:t>
        </w:r>
        <w:r>
          <w:rPr>
            <w:rFonts w:asciiTheme="minorHAnsi" w:eastAsiaTheme="minorEastAsia" w:hAnsiTheme="minorHAnsi" w:cstheme="minorBidi"/>
            <w:bCs w:val="0"/>
            <w:color w:val="auto"/>
            <w:kern w:val="2"/>
            <w:sz w:val="24"/>
            <w:szCs w:val="24"/>
            <w14:ligatures w14:val="standardContextual"/>
          </w:rPr>
          <w:tab/>
        </w:r>
        <w:r w:rsidRPr="00E618EF">
          <w:rPr>
            <w:rStyle w:val="Hyperlink"/>
          </w:rPr>
          <w:t>Key assumptions underlying the alternative scenarios</w:t>
        </w:r>
        <w:r>
          <w:rPr>
            <w:webHidden/>
          </w:rPr>
          <w:tab/>
        </w:r>
        <w:r>
          <w:rPr>
            <w:webHidden/>
          </w:rPr>
          <w:fldChar w:fldCharType="begin"/>
        </w:r>
        <w:r>
          <w:rPr>
            <w:webHidden/>
          </w:rPr>
          <w:instrText xml:space="preserve"> PAGEREF _Toc224823016 \h </w:instrText>
        </w:r>
        <w:r>
          <w:rPr>
            <w:webHidden/>
          </w:rPr>
        </w:r>
        <w:r>
          <w:rPr>
            <w:webHidden/>
          </w:rPr>
          <w:fldChar w:fldCharType="separate"/>
        </w:r>
        <w:r>
          <w:rPr>
            <w:webHidden/>
          </w:rPr>
          <w:t>25</w:t>
        </w:r>
        <w:r>
          <w:rPr>
            <w:webHidden/>
          </w:rPr>
          <w:fldChar w:fldCharType="end"/>
        </w:r>
      </w:hyperlink>
    </w:p>
    <w:p w14:paraId="6064D32E" w14:textId="070F283B" w:rsidR="00B234D0" w:rsidRDefault="00B234D0">
      <w:pPr>
        <w:pStyle w:val="TOC2"/>
        <w:tabs>
          <w:tab w:val="left" w:pos="1134"/>
        </w:tabs>
        <w:rPr>
          <w:rFonts w:asciiTheme="minorHAnsi" w:eastAsiaTheme="minorEastAsia" w:hAnsiTheme="minorHAnsi" w:cstheme="minorBidi"/>
          <w:bCs w:val="0"/>
          <w:color w:val="auto"/>
          <w:kern w:val="2"/>
          <w:sz w:val="24"/>
          <w:szCs w:val="24"/>
          <w14:ligatures w14:val="standardContextual"/>
        </w:rPr>
      </w:pPr>
      <w:hyperlink w:anchor="_Toc224823017" w:history="1">
        <w:r w:rsidRPr="00E618EF">
          <w:rPr>
            <w:rStyle w:val="Hyperlink"/>
          </w:rPr>
          <w:t>3.3</w:t>
        </w:r>
        <w:r>
          <w:rPr>
            <w:rFonts w:asciiTheme="minorHAnsi" w:eastAsiaTheme="minorEastAsia" w:hAnsiTheme="minorHAnsi" w:cstheme="minorBidi"/>
            <w:bCs w:val="0"/>
            <w:color w:val="auto"/>
            <w:kern w:val="2"/>
            <w:sz w:val="24"/>
            <w:szCs w:val="24"/>
            <w14:ligatures w14:val="standardContextual"/>
          </w:rPr>
          <w:tab/>
        </w:r>
        <w:r w:rsidRPr="00E618EF">
          <w:rPr>
            <w:rStyle w:val="Hyperlink"/>
          </w:rPr>
          <w:t>The impact on the global economy across scenarios</w:t>
        </w:r>
        <w:r>
          <w:rPr>
            <w:webHidden/>
          </w:rPr>
          <w:tab/>
        </w:r>
        <w:r>
          <w:rPr>
            <w:webHidden/>
          </w:rPr>
          <w:fldChar w:fldCharType="begin"/>
        </w:r>
        <w:r>
          <w:rPr>
            <w:webHidden/>
          </w:rPr>
          <w:instrText xml:space="preserve"> PAGEREF _Toc224823017 \h </w:instrText>
        </w:r>
        <w:r>
          <w:rPr>
            <w:webHidden/>
          </w:rPr>
        </w:r>
        <w:r>
          <w:rPr>
            <w:webHidden/>
          </w:rPr>
          <w:fldChar w:fldCharType="separate"/>
        </w:r>
        <w:r>
          <w:rPr>
            <w:webHidden/>
          </w:rPr>
          <w:t>28</w:t>
        </w:r>
        <w:r>
          <w:rPr>
            <w:webHidden/>
          </w:rPr>
          <w:fldChar w:fldCharType="end"/>
        </w:r>
      </w:hyperlink>
    </w:p>
    <w:p w14:paraId="1706743D" w14:textId="36E7B216" w:rsidR="00B234D0" w:rsidRDefault="00B234D0">
      <w:pPr>
        <w:pStyle w:val="TOC2"/>
        <w:tabs>
          <w:tab w:val="left" w:pos="1134"/>
        </w:tabs>
        <w:rPr>
          <w:rFonts w:asciiTheme="minorHAnsi" w:eastAsiaTheme="minorEastAsia" w:hAnsiTheme="minorHAnsi" w:cstheme="minorBidi"/>
          <w:bCs w:val="0"/>
          <w:color w:val="auto"/>
          <w:kern w:val="2"/>
          <w:sz w:val="24"/>
          <w:szCs w:val="24"/>
          <w14:ligatures w14:val="standardContextual"/>
        </w:rPr>
      </w:pPr>
      <w:hyperlink w:anchor="_Toc224823018" w:history="1">
        <w:r w:rsidRPr="00E618EF">
          <w:rPr>
            <w:rStyle w:val="Hyperlink"/>
          </w:rPr>
          <w:t>3.4</w:t>
        </w:r>
        <w:r>
          <w:rPr>
            <w:rFonts w:asciiTheme="minorHAnsi" w:eastAsiaTheme="minorEastAsia" w:hAnsiTheme="minorHAnsi" w:cstheme="minorBidi"/>
            <w:bCs w:val="0"/>
            <w:color w:val="auto"/>
            <w:kern w:val="2"/>
            <w:sz w:val="24"/>
            <w:szCs w:val="24"/>
            <w14:ligatures w14:val="standardContextual"/>
          </w:rPr>
          <w:tab/>
        </w:r>
        <w:r w:rsidRPr="00E618EF">
          <w:rPr>
            <w:rStyle w:val="Hyperlink"/>
          </w:rPr>
          <w:t>The impact on the euro area economy across scenarios</w:t>
        </w:r>
        <w:r>
          <w:rPr>
            <w:webHidden/>
          </w:rPr>
          <w:tab/>
        </w:r>
        <w:r>
          <w:rPr>
            <w:webHidden/>
          </w:rPr>
          <w:fldChar w:fldCharType="begin"/>
        </w:r>
        <w:r>
          <w:rPr>
            <w:webHidden/>
          </w:rPr>
          <w:instrText xml:space="preserve"> PAGEREF _Toc224823018 \h </w:instrText>
        </w:r>
        <w:r>
          <w:rPr>
            <w:webHidden/>
          </w:rPr>
        </w:r>
        <w:r>
          <w:rPr>
            <w:webHidden/>
          </w:rPr>
          <w:fldChar w:fldCharType="separate"/>
        </w:r>
        <w:r>
          <w:rPr>
            <w:webHidden/>
          </w:rPr>
          <w:t>29</w:t>
        </w:r>
        <w:r>
          <w:rPr>
            <w:webHidden/>
          </w:rPr>
          <w:fldChar w:fldCharType="end"/>
        </w:r>
      </w:hyperlink>
    </w:p>
    <w:p w14:paraId="6DA60A8B" w14:textId="4C83FF92" w:rsidR="00B234D0" w:rsidRDefault="00B234D0">
      <w:pPr>
        <w:pStyle w:val="TOC2"/>
        <w:tabs>
          <w:tab w:val="left" w:pos="1134"/>
        </w:tabs>
        <w:rPr>
          <w:rFonts w:asciiTheme="minorHAnsi" w:eastAsiaTheme="minorEastAsia" w:hAnsiTheme="minorHAnsi" w:cstheme="minorBidi"/>
          <w:bCs w:val="0"/>
          <w:color w:val="auto"/>
          <w:kern w:val="2"/>
          <w:sz w:val="24"/>
          <w:szCs w:val="24"/>
          <w14:ligatures w14:val="standardContextual"/>
        </w:rPr>
      </w:pPr>
      <w:hyperlink w:anchor="_Toc224823019" w:history="1">
        <w:r w:rsidRPr="00E618EF">
          <w:rPr>
            <w:rStyle w:val="Hyperlink"/>
          </w:rPr>
          <w:t>3.5</w:t>
        </w:r>
        <w:r>
          <w:rPr>
            <w:rFonts w:asciiTheme="minorHAnsi" w:eastAsiaTheme="minorEastAsia" w:hAnsiTheme="minorHAnsi" w:cstheme="minorBidi"/>
            <w:bCs w:val="0"/>
            <w:color w:val="auto"/>
            <w:kern w:val="2"/>
            <w:sz w:val="24"/>
            <w:szCs w:val="24"/>
            <w14:ligatures w14:val="standardContextual"/>
          </w:rPr>
          <w:tab/>
        </w:r>
        <w:r w:rsidRPr="00E618EF">
          <w:rPr>
            <w:rStyle w:val="Hyperlink"/>
          </w:rPr>
          <w:t>Caveats to the scenario analysis</w:t>
        </w:r>
        <w:r>
          <w:rPr>
            <w:webHidden/>
          </w:rPr>
          <w:tab/>
        </w:r>
        <w:r>
          <w:rPr>
            <w:webHidden/>
          </w:rPr>
          <w:fldChar w:fldCharType="begin"/>
        </w:r>
        <w:r>
          <w:rPr>
            <w:webHidden/>
          </w:rPr>
          <w:instrText xml:space="preserve"> PAGEREF _Toc224823019 \h </w:instrText>
        </w:r>
        <w:r>
          <w:rPr>
            <w:webHidden/>
          </w:rPr>
        </w:r>
        <w:r>
          <w:rPr>
            <w:webHidden/>
          </w:rPr>
          <w:fldChar w:fldCharType="separate"/>
        </w:r>
        <w:r>
          <w:rPr>
            <w:webHidden/>
          </w:rPr>
          <w:t>33</w:t>
        </w:r>
        <w:r>
          <w:rPr>
            <w:webHidden/>
          </w:rPr>
          <w:fldChar w:fldCharType="end"/>
        </w:r>
      </w:hyperlink>
    </w:p>
    <w:p w14:paraId="15EF7427" w14:textId="65A1DA2B" w:rsidR="00B234D0" w:rsidRDefault="00B234D0">
      <w:pPr>
        <w:pStyle w:val="TOC1"/>
        <w:rPr>
          <w:rFonts w:asciiTheme="minorHAnsi" w:eastAsiaTheme="minorEastAsia" w:hAnsiTheme="minorHAnsi" w:cstheme="minorBidi"/>
          <w:b w:val="0"/>
          <w:bCs w:val="0"/>
          <w:noProof/>
          <w:color w:val="auto"/>
          <w:kern w:val="2"/>
          <w:sz w:val="24"/>
          <w:szCs w:val="24"/>
          <w14:ligatures w14:val="standardContextual"/>
        </w:rPr>
      </w:pPr>
      <w:hyperlink w:anchor="_Toc224823020" w:history="1">
        <w:r w:rsidRPr="00E618EF">
          <w:rPr>
            <w:rStyle w:val="Hyperlink"/>
            <w:noProof/>
          </w:rPr>
          <w:t>4</w:t>
        </w:r>
        <w:r>
          <w:rPr>
            <w:rFonts w:asciiTheme="minorHAnsi" w:eastAsiaTheme="minorEastAsia" w:hAnsiTheme="minorHAnsi" w:cstheme="minorBidi"/>
            <w:b w:val="0"/>
            <w:bCs w:val="0"/>
            <w:noProof/>
            <w:color w:val="auto"/>
            <w:kern w:val="2"/>
            <w:sz w:val="24"/>
            <w:szCs w:val="24"/>
            <w14:ligatures w14:val="standardContextual"/>
          </w:rPr>
          <w:tab/>
        </w:r>
        <w:r w:rsidRPr="00E618EF">
          <w:rPr>
            <w:rStyle w:val="Hyperlink"/>
            <w:noProof/>
          </w:rPr>
          <w:t>Sensitivity analyses</w:t>
        </w:r>
        <w:r>
          <w:rPr>
            <w:noProof/>
            <w:webHidden/>
          </w:rPr>
          <w:tab/>
        </w:r>
        <w:r>
          <w:rPr>
            <w:noProof/>
            <w:webHidden/>
          </w:rPr>
          <w:fldChar w:fldCharType="begin"/>
        </w:r>
        <w:r>
          <w:rPr>
            <w:noProof/>
            <w:webHidden/>
          </w:rPr>
          <w:instrText xml:space="preserve"> PAGEREF _Toc224823020 \h </w:instrText>
        </w:r>
        <w:r>
          <w:rPr>
            <w:noProof/>
            <w:webHidden/>
          </w:rPr>
        </w:r>
        <w:r>
          <w:rPr>
            <w:noProof/>
            <w:webHidden/>
          </w:rPr>
          <w:fldChar w:fldCharType="separate"/>
        </w:r>
        <w:r>
          <w:rPr>
            <w:noProof/>
            <w:webHidden/>
          </w:rPr>
          <w:t>34</w:t>
        </w:r>
        <w:r>
          <w:rPr>
            <w:noProof/>
            <w:webHidden/>
          </w:rPr>
          <w:fldChar w:fldCharType="end"/>
        </w:r>
      </w:hyperlink>
    </w:p>
    <w:p w14:paraId="1E47C72C" w14:textId="40CCCC92" w:rsidR="00B234D0" w:rsidRDefault="00B234D0">
      <w:pPr>
        <w:pStyle w:val="TOC2"/>
        <w:tabs>
          <w:tab w:val="left" w:pos="1134"/>
        </w:tabs>
        <w:rPr>
          <w:rFonts w:asciiTheme="minorHAnsi" w:eastAsiaTheme="minorEastAsia" w:hAnsiTheme="minorHAnsi" w:cstheme="minorBidi"/>
          <w:bCs w:val="0"/>
          <w:color w:val="auto"/>
          <w:kern w:val="2"/>
          <w:sz w:val="24"/>
          <w:szCs w:val="24"/>
          <w14:ligatures w14:val="standardContextual"/>
        </w:rPr>
      </w:pPr>
      <w:hyperlink w:anchor="_Toc224823021" w:history="1">
        <w:r w:rsidRPr="00E618EF">
          <w:rPr>
            <w:rStyle w:val="Hyperlink"/>
          </w:rPr>
          <w:t>4.1</w:t>
        </w:r>
        <w:r>
          <w:rPr>
            <w:rFonts w:asciiTheme="minorHAnsi" w:eastAsiaTheme="minorEastAsia" w:hAnsiTheme="minorHAnsi" w:cstheme="minorBidi"/>
            <w:bCs w:val="0"/>
            <w:color w:val="auto"/>
            <w:kern w:val="2"/>
            <w:sz w:val="24"/>
            <w:szCs w:val="24"/>
            <w14:ligatures w14:val="standardContextual"/>
          </w:rPr>
          <w:tab/>
        </w:r>
        <w:r w:rsidRPr="00E618EF">
          <w:rPr>
            <w:rStyle w:val="Hyperlink"/>
          </w:rPr>
          <w:t>Alternative energy price paths</w:t>
        </w:r>
        <w:r>
          <w:rPr>
            <w:webHidden/>
          </w:rPr>
          <w:tab/>
        </w:r>
        <w:r>
          <w:rPr>
            <w:webHidden/>
          </w:rPr>
          <w:fldChar w:fldCharType="begin"/>
        </w:r>
        <w:r>
          <w:rPr>
            <w:webHidden/>
          </w:rPr>
          <w:instrText xml:space="preserve"> PAGEREF _Toc224823021 \h </w:instrText>
        </w:r>
        <w:r>
          <w:rPr>
            <w:webHidden/>
          </w:rPr>
        </w:r>
        <w:r>
          <w:rPr>
            <w:webHidden/>
          </w:rPr>
          <w:fldChar w:fldCharType="separate"/>
        </w:r>
        <w:r>
          <w:rPr>
            <w:webHidden/>
          </w:rPr>
          <w:t>34</w:t>
        </w:r>
        <w:r>
          <w:rPr>
            <w:webHidden/>
          </w:rPr>
          <w:fldChar w:fldCharType="end"/>
        </w:r>
      </w:hyperlink>
    </w:p>
    <w:p w14:paraId="42B0B601" w14:textId="65630C53" w:rsidR="00B234D0" w:rsidRDefault="00B234D0">
      <w:pPr>
        <w:pStyle w:val="TOC2"/>
        <w:tabs>
          <w:tab w:val="left" w:pos="1134"/>
        </w:tabs>
        <w:rPr>
          <w:rFonts w:asciiTheme="minorHAnsi" w:eastAsiaTheme="minorEastAsia" w:hAnsiTheme="minorHAnsi" w:cstheme="minorBidi"/>
          <w:bCs w:val="0"/>
          <w:color w:val="auto"/>
          <w:kern w:val="2"/>
          <w:sz w:val="24"/>
          <w:szCs w:val="24"/>
          <w14:ligatures w14:val="standardContextual"/>
        </w:rPr>
      </w:pPr>
      <w:hyperlink w:anchor="_Toc224823022" w:history="1">
        <w:r w:rsidRPr="00E618EF">
          <w:rPr>
            <w:rStyle w:val="Hyperlink"/>
          </w:rPr>
          <w:t>4.2</w:t>
        </w:r>
        <w:r>
          <w:rPr>
            <w:rFonts w:asciiTheme="minorHAnsi" w:eastAsiaTheme="minorEastAsia" w:hAnsiTheme="minorHAnsi" w:cstheme="minorBidi"/>
            <w:bCs w:val="0"/>
            <w:color w:val="auto"/>
            <w:kern w:val="2"/>
            <w:sz w:val="24"/>
            <w:szCs w:val="24"/>
            <w14:ligatures w14:val="standardContextual"/>
          </w:rPr>
          <w:tab/>
        </w:r>
        <w:r w:rsidRPr="00E618EF">
          <w:rPr>
            <w:rStyle w:val="Hyperlink"/>
          </w:rPr>
          <w:t>Alternative exchange rate paths</w:t>
        </w:r>
        <w:r>
          <w:rPr>
            <w:webHidden/>
          </w:rPr>
          <w:tab/>
        </w:r>
        <w:r>
          <w:rPr>
            <w:webHidden/>
          </w:rPr>
          <w:fldChar w:fldCharType="begin"/>
        </w:r>
        <w:r>
          <w:rPr>
            <w:webHidden/>
          </w:rPr>
          <w:instrText xml:space="preserve"> PAGEREF _Toc224823022 \h </w:instrText>
        </w:r>
        <w:r>
          <w:rPr>
            <w:webHidden/>
          </w:rPr>
        </w:r>
        <w:r>
          <w:rPr>
            <w:webHidden/>
          </w:rPr>
          <w:fldChar w:fldCharType="separate"/>
        </w:r>
        <w:r>
          <w:rPr>
            <w:webHidden/>
          </w:rPr>
          <w:t>36</w:t>
        </w:r>
        <w:r>
          <w:rPr>
            <w:webHidden/>
          </w:rPr>
          <w:fldChar w:fldCharType="end"/>
        </w:r>
      </w:hyperlink>
    </w:p>
    <w:p w14:paraId="02521FC2" w14:textId="10432819" w:rsidR="002F1C3C" w:rsidRPr="002F1C3C" w:rsidRDefault="002F1C3C" w:rsidP="002F1C3C">
      <w:r w:rsidRPr="002F1C3C">
        <w:fldChar w:fldCharType="end"/>
      </w:r>
    </w:p>
    <w:p w14:paraId="23991637" w14:textId="77777777" w:rsidR="002F1C3C" w:rsidRPr="002F1C3C" w:rsidRDefault="002F1C3C" w:rsidP="002F1C3C">
      <w:pPr>
        <w:sectPr w:rsidR="002F1C3C" w:rsidRPr="002F1C3C" w:rsidSect="002F1C3C">
          <w:headerReference w:type="even" r:id="rId16"/>
          <w:headerReference w:type="default" r:id="rId17"/>
          <w:footerReference w:type="default" r:id="rId18"/>
          <w:headerReference w:type="first" r:id="rId19"/>
          <w:pgSz w:w="11907" w:h="16840" w:code="9"/>
          <w:pgMar w:top="1985" w:right="1134" w:bottom="1418" w:left="3629" w:header="567" w:footer="266" w:gutter="0"/>
          <w:pgNumType w:start="1"/>
          <w:cols w:space="720"/>
          <w:docGrid w:linePitch="326"/>
        </w:sectPr>
      </w:pPr>
    </w:p>
    <w:p w14:paraId="42F6136D" w14:textId="4272D2A7" w:rsidR="002F1C3C" w:rsidRPr="002F1C3C" w:rsidRDefault="002F1C3C" w:rsidP="002F1C3C">
      <w:pPr>
        <w:pStyle w:val="Heading1"/>
      </w:pPr>
      <w:bookmarkStart w:id="0" w:name="_Toc224823007"/>
      <w:r w:rsidRPr="002F1C3C">
        <w:lastRenderedPageBreak/>
        <w:t>Overview</w:t>
      </w:r>
      <w:bookmarkEnd w:id="0"/>
    </w:p>
    <w:p w14:paraId="3D195E2F" w14:textId="67E31C41" w:rsidR="00BB230D" w:rsidRDefault="00BB230D" w:rsidP="00704292">
      <w:pPr>
        <w:rPr>
          <w:rStyle w:val="Emphasis"/>
        </w:rPr>
      </w:pPr>
      <w:r w:rsidRPr="00BB230D">
        <w:rPr>
          <w:rFonts w:cs="Arial"/>
          <w:i/>
          <w:color w:val="000000"/>
        </w:rPr>
        <w:t xml:space="preserve">The euro area economy remained resilient </w:t>
      </w:r>
      <w:r w:rsidR="002F5677">
        <w:rPr>
          <w:rFonts w:cs="Arial"/>
          <w:i/>
          <w:color w:val="000000"/>
        </w:rPr>
        <w:t xml:space="preserve">in 2025, </w:t>
      </w:r>
      <w:r w:rsidRPr="00BB230D">
        <w:rPr>
          <w:rFonts w:cs="Arial"/>
          <w:i/>
          <w:color w:val="000000"/>
        </w:rPr>
        <w:t xml:space="preserve">despite uncertainty and trade </w:t>
      </w:r>
      <w:r w:rsidR="00DB4E79">
        <w:rPr>
          <w:rFonts w:cs="Arial"/>
          <w:i/>
          <w:color w:val="000000"/>
        </w:rPr>
        <w:t xml:space="preserve">policy </w:t>
      </w:r>
      <w:r w:rsidRPr="00BB230D">
        <w:rPr>
          <w:rFonts w:cs="Arial"/>
          <w:i/>
          <w:color w:val="000000"/>
        </w:rPr>
        <w:t>shocks</w:t>
      </w:r>
      <w:r w:rsidR="00213FEA">
        <w:rPr>
          <w:rFonts w:cs="Arial"/>
          <w:i/>
          <w:color w:val="000000"/>
        </w:rPr>
        <w:t>.</w:t>
      </w:r>
      <w:r w:rsidRPr="00BB230D">
        <w:rPr>
          <w:rFonts w:cs="Arial"/>
          <w:i/>
          <w:color w:val="000000"/>
        </w:rPr>
        <w:t xml:space="preserve"> </w:t>
      </w:r>
      <w:r w:rsidR="00213FEA">
        <w:rPr>
          <w:rFonts w:cs="Arial"/>
          <w:i/>
          <w:color w:val="000000"/>
        </w:rPr>
        <w:t>G</w:t>
      </w:r>
      <w:r w:rsidRPr="00BB230D">
        <w:rPr>
          <w:rFonts w:cs="Arial"/>
          <w:i/>
          <w:color w:val="000000"/>
        </w:rPr>
        <w:t xml:space="preserve">rowth </w:t>
      </w:r>
      <w:r>
        <w:rPr>
          <w:rStyle w:val="Emphasis"/>
        </w:rPr>
        <w:t xml:space="preserve">expectations </w:t>
      </w:r>
      <w:r w:rsidR="002F5677">
        <w:rPr>
          <w:rStyle w:val="Emphasis"/>
        </w:rPr>
        <w:t xml:space="preserve">were </w:t>
      </w:r>
      <w:r w:rsidR="00213FEA">
        <w:rPr>
          <w:rStyle w:val="Emphasis"/>
        </w:rPr>
        <w:t xml:space="preserve">consistently </w:t>
      </w:r>
      <w:r>
        <w:rPr>
          <w:rStyle w:val="Emphasis"/>
        </w:rPr>
        <w:t xml:space="preserve">revised up </w:t>
      </w:r>
      <w:r w:rsidR="002F5677">
        <w:rPr>
          <w:rStyle w:val="Emphasis"/>
        </w:rPr>
        <w:t>over</w:t>
      </w:r>
      <w:r>
        <w:rPr>
          <w:rStyle w:val="Emphasis"/>
        </w:rPr>
        <w:t xml:space="preserve"> the course of </w:t>
      </w:r>
      <w:r w:rsidR="00296B1E">
        <w:rPr>
          <w:rStyle w:val="Emphasis"/>
        </w:rPr>
        <w:t xml:space="preserve">last </w:t>
      </w:r>
      <w:r>
        <w:rPr>
          <w:rStyle w:val="Emphasis"/>
        </w:rPr>
        <w:t>year</w:t>
      </w:r>
      <w:r w:rsidR="0020353C">
        <w:rPr>
          <w:rStyle w:val="Emphasis"/>
        </w:rPr>
        <w:t xml:space="preserve"> and </w:t>
      </w:r>
      <w:r w:rsidR="002F5677">
        <w:rPr>
          <w:rStyle w:val="Emphasis"/>
        </w:rPr>
        <w:t>the economy</w:t>
      </w:r>
      <w:r w:rsidR="0020353C">
        <w:rPr>
          <w:rStyle w:val="Emphasis"/>
        </w:rPr>
        <w:t xml:space="preserve"> </w:t>
      </w:r>
      <w:r w:rsidR="004E59FC">
        <w:rPr>
          <w:rStyle w:val="Emphasis"/>
        </w:rPr>
        <w:t xml:space="preserve">broadly </w:t>
      </w:r>
      <w:r w:rsidR="0020353C" w:rsidRPr="0020353C">
        <w:rPr>
          <w:rStyle w:val="Emphasis"/>
        </w:rPr>
        <w:t xml:space="preserve">maintained </w:t>
      </w:r>
      <w:r w:rsidR="0020353C">
        <w:rPr>
          <w:rStyle w:val="Emphasis"/>
        </w:rPr>
        <w:t xml:space="preserve">this positive </w:t>
      </w:r>
      <w:r w:rsidR="0020353C" w:rsidRPr="0020353C">
        <w:rPr>
          <w:rStyle w:val="Emphasis"/>
        </w:rPr>
        <w:t xml:space="preserve">momentum into </w:t>
      </w:r>
      <w:r w:rsidR="0020353C">
        <w:rPr>
          <w:rStyle w:val="Emphasis"/>
        </w:rPr>
        <w:t xml:space="preserve">the start of </w:t>
      </w:r>
      <w:r w:rsidR="0020353C" w:rsidRPr="0020353C">
        <w:rPr>
          <w:rStyle w:val="Emphasis"/>
        </w:rPr>
        <w:t>2026</w:t>
      </w:r>
      <w:r w:rsidRPr="00BB230D">
        <w:rPr>
          <w:rFonts w:cs="Arial"/>
          <w:i/>
          <w:color w:val="000000"/>
        </w:rPr>
        <w:t xml:space="preserve">. </w:t>
      </w:r>
      <w:r>
        <w:rPr>
          <w:rStyle w:val="Emphasis"/>
        </w:rPr>
        <w:t>However, t</w:t>
      </w:r>
      <w:r w:rsidR="007D089B">
        <w:rPr>
          <w:rStyle w:val="Emphasis"/>
        </w:rPr>
        <w:t xml:space="preserve">he </w:t>
      </w:r>
      <w:r w:rsidR="008922FD">
        <w:rPr>
          <w:rStyle w:val="Emphasis"/>
        </w:rPr>
        <w:t>war</w:t>
      </w:r>
      <w:r w:rsidR="008922FD" w:rsidRPr="00704292">
        <w:rPr>
          <w:rStyle w:val="Emphasis"/>
        </w:rPr>
        <w:t xml:space="preserve"> </w:t>
      </w:r>
      <w:r w:rsidR="00704292" w:rsidRPr="00704292">
        <w:rPr>
          <w:rStyle w:val="Emphasis"/>
        </w:rPr>
        <w:t xml:space="preserve">in the </w:t>
      </w:r>
      <w:r w:rsidR="00704292">
        <w:rPr>
          <w:rStyle w:val="Emphasis"/>
        </w:rPr>
        <w:t xml:space="preserve">Middle East </w:t>
      </w:r>
      <w:r w:rsidR="002F5677">
        <w:rPr>
          <w:rStyle w:val="Emphasis"/>
        </w:rPr>
        <w:t xml:space="preserve">has </w:t>
      </w:r>
      <w:r w:rsidR="00DE2376">
        <w:rPr>
          <w:rStyle w:val="Emphasis"/>
        </w:rPr>
        <w:t>brought</w:t>
      </w:r>
      <w:r>
        <w:rPr>
          <w:rStyle w:val="Emphasis"/>
        </w:rPr>
        <w:t xml:space="preserve"> renewed uncertainty and </w:t>
      </w:r>
      <w:r w:rsidR="00704292">
        <w:rPr>
          <w:rStyle w:val="Emphasis"/>
        </w:rPr>
        <w:t xml:space="preserve">the </w:t>
      </w:r>
      <w:r>
        <w:rPr>
          <w:rStyle w:val="Emphasis"/>
        </w:rPr>
        <w:t xml:space="preserve">economic </w:t>
      </w:r>
      <w:r w:rsidR="00704292">
        <w:rPr>
          <w:rStyle w:val="Emphasis"/>
        </w:rPr>
        <w:t>outlook</w:t>
      </w:r>
      <w:r w:rsidR="004D43A8">
        <w:rPr>
          <w:rStyle w:val="Emphasis"/>
        </w:rPr>
        <w:t xml:space="preserve"> is clouded again</w:t>
      </w:r>
      <w:r w:rsidR="00704292" w:rsidRPr="00704292">
        <w:rPr>
          <w:rStyle w:val="Emphasis"/>
        </w:rPr>
        <w:t xml:space="preserve">. </w:t>
      </w:r>
      <w:r w:rsidR="00704292">
        <w:rPr>
          <w:rStyle w:val="Emphasis"/>
        </w:rPr>
        <w:t>Disruptions to s</w:t>
      </w:r>
      <w:r w:rsidR="00704292" w:rsidRPr="00704292">
        <w:rPr>
          <w:rStyle w:val="Emphasis"/>
        </w:rPr>
        <w:t xml:space="preserve">hipping through the Strait of Hormuz, a key route for global oil and liquefied natural gas </w:t>
      </w:r>
      <w:r w:rsidR="00C646F8">
        <w:rPr>
          <w:rStyle w:val="Emphasis"/>
        </w:rPr>
        <w:t xml:space="preserve">(LNG) </w:t>
      </w:r>
      <w:r w:rsidR="00704292" w:rsidRPr="00704292">
        <w:rPr>
          <w:rStyle w:val="Emphasis"/>
        </w:rPr>
        <w:t>trade</w:t>
      </w:r>
      <w:r w:rsidR="001B7283">
        <w:rPr>
          <w:rStyle w:val="Emphasis"/>
        </w:rPr>
        <w:t>,</w:t>
      </w:r>
      <w:r w:rsidR="00704292" w:rsidRPr="00704292">
        <w:rPr>
          <w:rStyle w:val="Emphasis"/>
        </w:rPr>
        <w:t xml:space="preserve"> </w:t>
      </w:r>
      <w:r w:rsidR="001B7283">
        <w:rPr>
          <w:rStyle w:val="Emphasis"/>
        </w:rPr>
        <w:t xml:space="preserve">together with attacks on energy infrastructure, </w:t>
      </w:r>
      <w:r w:rsidR="00704292" w:rsidRPr="00704292">
        <w:rPr>
          <w:rStyle w:val="Emphasis"/>
        </w:rPr>
        <w:t>have led to significant volatility in global energy markets and have pushed up oil and gas prices.</w:t>
      </w:r>
      <w:r w:rsidR="00FB4460">
        <w:rPr>
          <w:rStyle w:val="Emphasis"/>
        </w:rPr>
        <w:t xml:space="preserve"> The baseline staff projections are conditioned on </w:t>
      </w:r>
      <w:r w:rsidR="00266174">
        <w:rPr>
          <w:rStyle w:val="Emphasis"/>
        </w:rPr>
        <w:t xml:space="preserve">the </w:t>
      </w:r>
      <w:r w:rsidR="00FB4460">
        <w:rPr>
          <w:rStyle w:val="Emphasis"/>
        </w:rPr>
        <w:t>path</w:t>
      </w:r>
      <w:r w:rsidR="003A1A66">
        <w:rPr>
          <w:rStyle w:val="Emphasis"/>
        </w:rPr>
        <w:t>s</w:t>
      </w:r>
      <w:r w:rsidR="00FB4460">
        <w:rPr>
          <w:rStyle w:val="Emphasis"/>
        </w:rPr>
        <w:t xml:space="preserve"> of futures prices for energy commodities at the time of the cut-off date</w:t>
      </w:r>
      <w:r w:rsidR="0020353C">
        <w:rPr>
          <w:rStyle w:val="Emphasis"/>
        </w:rPr>
        <w:t xml:space="preserve"> of 11 March 2026</w:t>
      </w:r>
      <w:r w:rsidR="00FB4460">
        <w:rPr>
          <w:rStyle w:val="Emphasis"/>
        </w:rPr>
        <w:t>.</w:t>
      </w:r>
      <w:r w:rsidR="00FB4460" w:rsidRPr="004D42D6">
        <w:rPr>
          <w:rStyle w:val="FootnoteReference"/>
        </w:rPr>
        <w:footnoteReference w:id="2"/>
      </w:r>
      <w:r w:rsidR="000D7B60">
        <w:rPr>
          <w:rStyle w:val="Emphasis"/>
        </w:rPr>
        <w:t xml:space="preserve"> </w:t>
      </w:r>
      <w:r w:rsidR="007E6BDC">
        <w:rPr>
          <w:rStyle w:val="Emphasis"/>
        </w:rPr>
        <w:t>Th</w:t>
      </w:r>
      <w:r w:rsidR="003A1A66">
        <w:rPr>
          <w:rStyle w:val="Emphasis"/>
        </w:rPr>
        <w:t>ese</w:t>
      </w:r>
      <w:r w:rsidR="007E6BDC">
        <w:rPr>
          <w:rStyle w:val="Emphasis"/>
        </w:rPr>
        <w:t xml:space="preserve"> suggest </w:t>
      </w:r>
      <w:r w:rsidR="000D7B60">
        <w:rPr>
          <w:rStyle w:val="Emphasis"/>
        </w:rPr>
        <w:t>quarterly average</w:t>
      </w:r>
      <w:r w:rsidR="00843E92">
        <w:rPr>
          <w:rStyle w:val="Emphasis"/>
        </w:rPr>
        <w:t xml:space="preserve"> oil and gas</w:t>
      </w:r>
      <w:r w:rsidR="000D7B60">
        <w:rPr>
          <w:rStyle w:val="Emphasis"/>
        </w:rPr>
        <w:t xml:space="preserve"> </w:t>
      </w:r>
      <w:r w:rsidR="007E6BDC">
        <w:rPr>
          <w:rStyle w:val="Emphasis"/>
        </w:rPr>
        <w:t xml:space="preserve">prices </w:t>
      </w:r>
      <w:r w:rsidR="00C90536">
        <w:rPr>
          <w:rStyle w:val="Emphasis"/>
        </w:rPr>
        <w:t>will peak</w:t>
      </w:r>
      <w:r w:rsidR="000D7B60" w:rsidRPr="000D7B60">
        <w:rPr>
          <w:rStyle w:val="Emphasis"/>
        </w:rPr>
        <w:t xml:space="preserve"> </w:t>
      </w:r>
      <w:r w:rsidR="000D7B60" w:rsidRPr="00C03795">
        <w:rPr>
          <w:rStyle w:val="Emphasis"/>
        </w:rPr>
        <w:t xml:space="preserve">at </w:t>
      </w:r>
      <w:r w:rsidR="000D7B60">
        <w:rPr>
          <w:rStyle w:val="Emphasis"/>
        </w:rPr>
        <w:t xml:space="preserve">around </w:t>
      </w:r>
      <w:r w:rsidR="000D7B60" w:rsidRPr="00C03795">
        <w:rPr>
          <w:rStyle w:val="Emphasis"/>
        </w:rPr>
        <w:t xml:space="preserve">USD </w:t>
      </w:r>
      <w:r w:rsidR="000D7B60">
        <w:rPr>
          <w:rStyle w:val="Emphasis"/>
        </w:rPr>
        <w:t>90</w:t>
      </w:r>
      <w:r w:rsidR="00DE2376">
        <w:rPr>
          <w:rStyle w:val="Emphasis"/>
        </w:rPr>
        <w:t xml:space="preserve"> per barre</w:t>
      </w:r>
      <w:r w:rsidR="00A8168B">
        <w:rPr>
          <w:rStyle w:val="Emphasis"/>
        </w:rPr>
        <w:t>l</w:t>
      </w:r>
      <w:r w:rsidR="000D7B60" w:rsidRPr="00C03795">
        <w:rPr>
          <w:rStyle w:val="Emphasis"/>
        </w:rPr>
        <w:t xml:space="preserve"> and </w:t>
      </w:r>
      <w:r w:rsidR="00DE2376">
        <w:rPr>
          <w:rStyle w:val="Emphasis"/>
        </w:rPr>
        <w:t>€</w:t>
      </w:r>
      <w:r w:rsidR="000D7B60">
        <w:rPr>
          <w:rStyle w:val="Emphasis"/>
        </w:rPr>
        <w:t>50</w:t>
      </w:r>
      <w:r w:rsidR="00DE2376">
        <w:rPr>
          <w:rStyle w:val="Emphasis"/>
        </w:rPr>
        <w:t xml:space="preserve"> per </w:t>
      </w:r>
      <w:r w:rsidR="000D7B60" w:rsidRPr="00C03795">
        <w:rPr>
          <w:rStyle w:val="Emphasis"/>
        </w:rPr>
        <w:t>MWh</w:t>
      </w:r>
      <w:r w:rsidR="00C90536">
        <w:rPr>
          <w:rStyle w:val="Emphasis"/>
        </w:rPr>
        <w:t xml:space="preserve"> </w:t>
      </w:r>
      <w:r w:rsidR="004D43A8">
        <w:rPr>
          <w:rStyle w:val="Emphasis"/>
        </w:rPr>
        <w:t xml:space="preserve">respectively </w:t>
      </w:r>
      <w:r w:rsidR="007E6BDC">
        <w:rPr>
          <w:rStyle w:val="Emphasis"/>
        </w:rPr>
        <w:t xml:space="preserve">in </w:t>
      </w:r>
      <w:r w:rsidR="00DE2376">
        <w:rPr>
          <w:rStyle w:val="Emphasis"/>
        </w:rPr>
        <w:t>the second quarter of</w:t>
      </w:r>
      <w:r w:rsidR="000D7B60">
        <w:rPr>
          <w:rStyle w:val="Emphasis"/>
        </w:rPr>
        <w:t xml:space="preserve"> 2026 </w:t>
      </w:r>
      <w:r w:rsidR="004D43A8">
        <w:rPr>
          <w:rStyle w:val="Emphasis"/>
        </w:rPr>
        <w:t>and will then</w:t>
      </w:r>
      <w:r w:rsidR="007E6BDC">
        <w:rPr>
          <w:rStyle w:val="Emphasis"/>
        </w:rPr>
        <w:t xml:space="preserve"> </w:t>
      </w:r>
      <w:r w:rsidR="00843E92">
        <w:rPr>
          <w:rStyle w:val="Emphasis"/>
        </w:rPr>
        <w:t>declin</w:t>
      </w:r>
      <w:r w:rsidR="004D43A8">
        <w:rPr>
          <w:rStyle w:val="Emphasis"/>
        </w:rPr>
        <w:t>e</w:t>
      </w:r>
      <w:r w:rsidR="002B5C52">
        <w:rPr>
          <w:rStyle w:val="Emphasis"/>
        </w:rPr>
        <w:t xml:space="preserve"> </w:t>
      </w:r>
      <w:r w:rsidR="007E6BDC">
        <w:rPr>
          <w:rStyle w:val="Emphasis"/>
        </w:rPr>
        <w:t xml:space="preserve">over the </w:t>
      </w:r>
      <w:r w:rsidR="00C90536">
        <w:rPr>
          <w:rStyle w:val="Emphasis"/>
        </w:rPr>
        <w:t>following quarters</w:t>
      </w:r>
      <w:r w:rsidR="007E6BDC">
        <w:rPr>
          <w:rStyle w:val="Emphasis"/>
        </w:rPr>
        <w:t xml:space="preserve">. </w:t>
      </w:r>
      <w:r>
        <w:rPr>
          <w:rStyle w:val="Emphasis"/>
        </w:rPr>
        <w:t>In line with</w:t>
      </w:r>
      <w:r w:rsidR="00C90536">
        <w:rPr>
          <w:rStyle w:val="Emphasis"/>
        </w:rPr>
        <w:t xml:space="preserve"> </w:t>
      </w:r>
      <w:r w:rsidR="007E6BDC">
        <w:rPr>
          <w:rStyle w:val="Emphasis"/>
        </w:rPr>
        <w:t xml:space="preserve">these assumptions, the baseline </w:t>
      </w:r>
      <w:r w:rsidR="004D43A8">
        <w:rPr>
          <w:rStyle w:val="Emphasis"/>
        </w:rPr>
        <w:t>fore</w:t>
      </w:r>
      <w:r w:rsidR="00C90536">
        <w:rPr>
          <w:rStyle w:val="Emphasis"/>
        </w:rPr>
        <w:t xml:space="preserve">sees </w:t>
      </w:r>
      <w:r w:rsidR="007E6BDC">
        <w:rPr>
          <w:rStyle w:val="Emphasis"/>
        </w:rPr>
        <w:t>a pick-up in inflation</w:t>
      </w:r>
      <w:r w:rsidR="00806248">
        <w:rPr>
          <w:rStyle w:val="Emphasis"/>
        </w:rPr>
        <w:t>,</w:t>
      </w:r>
      <w:r w:rsidR="007E6BDC">
        <w:rPr>
          <w:rStyle w:val="Emphasis"/>
        </w:rPr>
        <w:t xml:space="preserve"> </w:t>
      </w:r>
      <w:r w:rsidR="004D43A8">
        <w:rPr>
          <w:rStyle w:val="Emphasis"/>
        </w:rPr>
        <w:t>which will dampen</w:t>
      </w:r>
      <w:r w:rsidR="007E6BDC">
        <w:rPr>
          <w:rStyle w:val="Emphasis"/>
        </w:rPr>
        <w:t xml:space="preserve"> </w:t>
      </w:r>
      <w:r w:rsidR="00F0493E">
        <w:rPr>
          <w:rStyle w:val="Emphasis"/>
        </w:rPr>
        <w:t>purchasing power</w:t>
      </w:r>
      <w:r w:rsidR="007E6BDC">
        <w:rPr>
          <w:rStyle w:val="Emphasis"/>
        </w:rPr>
        <w:t>, consum</w:t>
      </w:r>
      <w:r w:rsidR="00F0493E">
        <w:rPr>
          <w:rStyle w:val="Emphasis"/>
        </w:rPr>
        <w:t xml:space="preserve">er spending </w:t>
      </w:r>
      <w:r w:rsidR="007E6BDC">
        <w:rPr>
          <w:rStyle w:val="Emphasis"/>
        </w:rPr>
        <w:t>and</w:t>
      </w:r>
      <w:r w:rsidR="00C54A10">
        <w:rPr>
          <w:rStyle w:val="Emphasis"/>
        </w:rPr>
        <w:t>,</w:t>
      </w:r>
      <w:r w:rsidR="004E59FC">
        <w:rPr>
          <w:rStyle w:val="Emphasis"/>
        </w:rPr>
        <w:t xml:space="preserve"> hence</w:t>
      </w:r>
      <w:r w:rsidR="00C54A10">
        <w:rPr>
          <w:rStyle w:val="Emphasis"/>
        </w:rPr>
        <w:t>,</w:t>
      </w:r>
      <w:r w:rsidR="004E59FC">
        <w:rPr>
          <w:rStyle w:val="Emphasis"/>
        </w:rPr>
        <w:t xml:space="preserve"> GDP</w:t>
      </w:r>
      <w:r w:rsidR="007E6BDC">
        <w:rPr>
          <w:rStyle w:val="Emphasis"/>
        </w:rPr>
        <w:t xml:space="preserve"> growth</w:t>
      </w:r>
      <w:r w:rsidR="004D43A8">
        <w:rPr>
          <w:rStyle w:val="Emphasis"/>
        </w:rPr>
        <w:t>,</w:t>
      </w:r>
      <w:r w:rsidR="007E6BDC">
        <w:rPr>
          <w:rStyle w:val="Emphasis"/>
        </w:rPr>
        <w:t xml:space="preserve"> </w:t>
      </w:r>
      <w:r w:rsidR="00AC0739">
        <w:rPr>
          <w:rStyle w:val="Emphasis"/>
        </w:rPr>
        <w:t xml:space="preserve">especially </w:t>
      </w:r>
      <w:r w:rsidR="007E6BDC">
        <w:rPr>
          <w:rStyle w:val="Emphasis"/>
        </w:rPr>
        <w:t>in the short term</w:t>
      </w:r>
      <w:r w:rsidR="00F0493E">
        <w:rPr>
          <w:rStyle w:val="Emphasis"/>
        </w:rPr>
        <w:t xml:space="preserve">. Nevertheless, the future evolution of the conflict, </w:t>
      </w:r>
      <w:r w:rsidR="00C90536">
        <w:rPr>
          <w:rStyle w:val="Emphasis"/>
        </w:rPr>
        <w:t xml:space="preserve">its </w:t>
      </w:r>
      <w:r w:rsidR="00F0493E">
        <w:rPr>
          <w:rStyle w:val="Emphasis"/>
        </w:rPr>
        <w:t>impact on energy prices, uncertainty and confidence</w:t>
      </w:r>
      <w:r w:rsidR="00C90536">
        <w:rPr>
          <w:rStyle w:val="Emphasis"/>
        </w:rPr>
        <w:t>,</w:t>
      </w:r>
      <w:r w:rsidR="00F0493E">
        <w:rPr>
          <w:rStyle w:val="Emphasis"/>
        </w:rPr>
        <w:t xml:space="preserve"> and the </w:t>
      </w:r>
      <w:r w:rsidR="004E59FC">
        <w:rPr>
          <w:rStyle w:val="Emphasis"/>
        </w:rPr>
        <w:t xml:space="preserve">pass-through </w:t>
      </w:r>
      <w:r w:rsidR="00F0493E">
        <w:rPr>
          <w:rStyle w:val="Emphasis"/>
        </w:rPr>
        <w:t xml:space="preserve">of the energy </w:t>
      </w:r>
      <w:r w:rsidR="00E95442">
        <w:rPr>
          <w:rStyle w:val="Emphasis"/>
        </w:rPr>
        <w:t xml:space="preserve">price </w:t>
      </w:r>
      <w:r w:rsidR="00F0493E">
        <w:rPr>
          <w:rStyle w:val="Emphasis"/>
        </w:rPr>
        <w:t xml:space="preserve">shock </w:t>
      </w:r>
      <w:r w:rsidR="004E59FC">
        <w:rPr>
          <w:rStyle w:val="Emphasis"/>
        </w:rPr>
        <w:t>to</w:t>
      </w:r>
      <w:r w:rsidR="00F0493E">
        <w:rPr>
          <w:rStyle w:val="Emphasis"/>
        </w:rPr>
        <w:t xml:space="preserve"> non-energy consumer prices remain highly uncertain. </w:t>
      </w:r>
      <w:r w:rsidR="00DE2376">
        <w:rPr>
          <w:rStyle w:val="Emphasis"/>
        </w:rPr>
        <w:t>Therefore</w:t>
      </w:r>
      <w:r w:rsidR="00F0493E">
        <w:rPr>
          <w:rStyle w:val="Emphasis"/>
        </w:rPr>
        <w:t xml:space="preserve">, </w:t>
      </w:r>
      <w:r w:rsidR="00AC0739">
        <w:rPr>
          <w:rStyle w:val="Emphasis"/>
        </w:rPr>
        <w:t>the baseline projections are complemented b</w:t>
      </w:r>
      <w:r w:rsidR="006063EC">
        <w:rPr>
          <w:rStyle w:val="Emphasis"/>
        </w:rPr>
        <w:t>y</w:t>
      </w:r>
      <w:r w:rsidR="00AC0739">
        <w:rPr>
          <w:rStyle w:val="Emphasis"/>
        </w:rPr>
        <w:t xml:space="preserve"> </w:t>
      </w:r>
      <w:r w:rsidR="00F0493E">
        <w:rPr>
          <w:rStyle w:val="Emphasis"/>
        </w:rPr>
        <w:t>alternative</w:t>
      </w:r>
      <w:r w:rsidR="00876089">
        <w:rPr>
          <w:rStyle w:val="Emphasis"/>
        </w:rPr>
        <w:t>,</w:t>
      </w:r>
      <w:r w:rsidR="00F0493E">
        <w:rPr>
          <w:rStyle w:val="Emphasis"/>
        </w:rPr>
        <w:t xml:space="preserve"> </w:t>
      </w:r>
      <w:r w:rsidR="009231F4">
        <w:rPr>
          <w:rStyle w:val="Emphasis"/>
        </w:rPr>
        <w:t xml:space="preserve">hypothetical </w:t>
      </w:r>
      <w:r w:rsidR="00F0493E">
        <w:rPr>
          <w:rStyle w:val="Emphasis"/>
        </w:rPr>
        <w:t xml:space="preserve">scenarios </w:t>
      </w:r>
      <w:r w:rsidR="00EA7879">
        <w:rPr>
          <w:rStyle w:val="Emphasis"/>
        </w:rPr>
        <w:t>which assume</w:t>
      </w:r>
      <w:r w:rsidR="00F0493E">
        <w:rPr>
          <w:rStyle w:val="Emphasis"/>
        </w:rPr>
        <w:t xml:space="preserve"> varying degrees of severity of the economic </w:t>
      </w:r>
      <w:r w:rsidR="00AC0739">
        <w:rPr>
          <w:rStyle w:val="Emphasis"/>
        </w:rPr>
        <w:t xml:space="preserve">impact </w:t>
      </w:r>
      <w:r w:rsidR="00F0493E">
        <w:rPr>
          <w:rStyle w:val="Emphasis"/>
        </w:rPr>
        <w:t>of the c</w:t>
      </w:r>
      <w:r w:rsidR="004E59FC">
        <w:rPr>
          <w:rStyle w:val="Emphasis"/>
        </w:rPr>
        <w:t>onflict</w:t>
      </w:r>
      <w:r w:rsidR="00F0493E">
        <w:rPr>
          <w:rStyle w:val="Emphasis"/>
        </w:rPr>
        <w:t xml:space="preserve"> on the euro area. </w:t>
      </w:r>
      <w:r w:rsidR="007E6BDC">
        <w:rPr>
          <w:rStyle w:val="Emphasis"/>
        </w:rPr>
        <w:t xml:space="preserve"> </w:t>
      </w:r>
    </w:p>
    <w:p w14:paraId="267BC9BC" w14:textId="6E5DBCBD" w:rsidR="00AE3239" w:rsidRDefault="00B233D5" w:rsidP="00704292">
      <w:pPr>
        <w:rPr>
          <w:rStyle w:val="Emphasis"/>
        </w:rPr>
      </w:pPr>
      <w:r>
        <w:rPr>
          <w:rStyle w:val="Emphasis"/>
        </w:rPr>
        <w:t xml:space="preserve">The euro area economy grew by </w:t>
      </w:r>
      <w:r w:rsidR="00C90536">
        <w:rPr>
          <w:rStyle w:val="Emphasis"/>
        </w:rPr>
        <w:t xml:space="preserve">0.2% </w:t>
      </w:r>
      <w:r w:rsidR="00AE1E93">
        <w:rPr>
          <w:rStyle w:val="Emphasis"/>
        </w:rPr>
        <w:t xml:space="preserve">at the end of </w:t>
      </w:r>
      <w:r w:rsidR="004B1EAF">
        <w:rPr>
          <w:rStyle w:val="Emphasis"/>
        </w:rPr>
        <w:t xml:space="preserve">last </w:t>
      </w:r>
      <w:r w:rsidR="00AE1E93">
        <w:rPr>
          <w:rStyle w:val="Emphasis"/>
        </w:rPr>
        <w:t>year</w:t>
      </w:r>
      <w:r w:rsidR="001F1555">
        <w:rPr>
          <w:rStyle w:val="Emphasis"/>
        </w:rPr>
        <w:t xml:space="preserve">, </w:t>
      </w:r>
      <w:r w:rsidR="00C90536">
        <w:rPr>
          <w:rStyle w:val="Emphasis"/>
        </w:rPr>
        <w:t xml:space="preserve">in line with the </w:t>
      </w:r>
      <w:r w:rsidR="004B1EAF">
        <w:rPr>
          <w:rStyle w:val="Emphasis"/>
        </w:rPr>
        <w:t xml:space="preserve">December </w:t>
      </w:r>
      <w:r>
        <w:rPr>
          <w:rStyle w:val="Emphasis"/>
        </w:rPr>
        <w:t xml:space="preserve">staff </w:t>
      </w:r>
      <w:r w:rsidR="00C90536">
        <w:rPr>
          <w:rStyle w:val="Emphasis"/>
        </w:rPr>
        <w:t>projections</w:t>
      </w:r>
      <w:r w:rsidR="00DE2376">
        <w:rPr>
          <w:rStyle w:val="Emphasis"/>
        </w:rPr>
        <w:t>,</w:t>
      </w:r>
      <w:r>
        <w:rPr>
          <w:rStyle w:val="Emphasis"/>
        </w:rPr>
        <w:t xml:space="preserve"> and</w:t>
      </w:r>
      <w:r w:rsidR="00C90536">
        <w:rPr>
          <w:rStyle w:val="Emphasis"/>
        </w:rPr>
        <w:t xml:space="preserve"> </w:t>
      </w:r>
      <w:r w:rsidR="00DE2376">
        <w:rPr>
          <w:rStyle w:val="Emphasis"/>
        </w:rPr>
        <w:t xml:space="preserve">was </w:t>
      </w:r>
      <w:r w:rsidR="001F1555">
        <w:rPr>
          <w:rStyle w:val="Emphasis"/>
        </w:rPr>
        <w:t xml:space="preserve">supported by strengthening consumption </w:t>
      </w:r>
      <w:r w:rsidR="00671628">
        <w:rPr>
          <w:rStyle w:val="Emphasis"/>
        </w:rPr>
        <w:t>and government investment</w:t>
      </w:r>
      <w:r w:rsidR="00E14986">
        <w:rPr>
          <w:rStyle w:val="Emphasis"/>
        </w:rPr>
        <w:t>.</w:t>
      </w:r>
      <w:r w:rsidR="00E14986" w:rsidRPr="00E76E4F">
        <w:rPr>
          <w:rStyle w:val="Emphasis"/>
        </w:rPr>
        <w:t xml:space="preserve"> </w:t>
      </w:r>
      <w:r w:rsidR="000D6848">
        <w:rPr>
          <w:rStyle w:val="Emphasis"/>
        </w:rPr>
        <w:t xml:space="preserve">Short-term indicators </w:t>
      </w:r>
      <w:r w:rsidR="000D6848">
        <w:rPr>
          <w:i/>
          <w:iCs/>
        </w:rPr>
        <w:t>suggested</w:t>
      </w:r>
      <w:r w:rsidR="000D6848" w:rsidRPr="007E5705">
        <w:rPr>
          <w:i/>
          <w:iCs/>
        </w:rPr>
        <w:t xml:space="preserve"> </w:t>
      </w:r>
      <w:r w:rsidR="000D6848">
        <w:rPr>
          <w:i/>
          <w:iCs/>
        </w:rPr>
        <w:t>pos</w:t>
      </w:r>
      <w:r w:rsidR="00DE2376">
        <w:rPr>
          <w:i/>
          <w:iCs/>
        </w:rPr>
        <w:t>i</w:t>
      </w:r>
      <w:r w:rsidR="000D6848">
        <w:rPr>
          <w:i/>
          <w:iCs/>
        </w:rPr>
        <w:t xml:space="preserve">tive </w:t>
      </w:r>
      <w:r w:rsidR="000D6848" w:rsidRPr="007E5705">
        <w:rPr>
          <w:i/>
          <w:iCs/>
        </w:rPr>
        <w:t>growth dynamics</w:t>
      </w:r>
      <w:r w:rsidR="000D6848">
        <w:rPr>
          <w:rStyle w:val="Emphasis"/>
        </w:rPr>
        <w:t xml:space="preserve"> </w:t>
      </w:r>
      <w:r w:rsidR="004D43A8">
        <w:rPr>
          <w:rStyle w:val="Emphasis"/>
        </w:rPr>
        <w:t xml:space="preserve">continued </w:t>
      </w:r>
      <w:r w:rsidR="000D6848">
        <w:rPr>
          <w:rStyle w:val="Emphasis"/>
        </w:rPr>
        <w:t>in the first two months of 2026</w:t>
      </w:r>
      <w:r w:rsidR="00DE2376">
        <w:rPr>
          <w:rStyle w:val="Emphasis"/>
        </w:rPr>
        <w:t>,</w:t>
      </w:r>
      <w:r w:rsidR="000D6848">
        <w:rPr>
          <w:rStyle w:val="Emphasis"/>
        </w:rPr>
        <w:t xml:space="preserve"> but t</w:t>
      </w:r>
      <w:r w:rsidR="000D6848" w:rsidRPr="00F13284">
        <w:rPr>
          <w:rStyle w:val="Emphasis"/>
        </w:rPr>
        <w:t xml:space="preserve">he </w:t>
      </w:r>
      <w:r w:rsidR="001C4DAC">
        <w:rPr>
          <w:rStyle w:val="Emphasis"/>
        </w:rPr>
        <w:t>war</w:t>
      </w:r>
      <w:r w:rsidR="001C4DAC" w:rsidRPr="00F13284">
        <w:rPr>
          <w:rStyle w:val="Emphasis"/>
        </w:rPr>
        <w:t xml:space="preserve"> </w:t>
      </w:r>
      <w:r w:rsidR="000D6848" w:rsidRPr="00F13284">
        <w:rPr>
          <w:rStyle w:val="Emphasis"/>
        </w:rPr>
        <w:t xml:space="preserve">in the Middle East </w:t>
      </w:r>
      <w:r w:rsidR="000D6848">
        <w:rPr>
          <w:rStyle w:val="Emphasis"/>
        </w:rPr>
        <w:t xml:space="preserve">has </w:t>
      </w:r>
      <w:r w:rsidR="004D43A8">
        <w:rPr>
          <w:rStyle w:val="Emphasis"/>
        </w:rPr>
        <w:t>resulted in</w:t>
      </w:r>
      <w:r w:rsidR="000D6848" w:rsidRPr="00F13284">
        <w:rPr>
          <w:rStyle w:val="Emphasis"/>
        </w:rPr>
        <w:t xml:space="preserve"> a downward revision to </w:t>
      </w:r>
      <w:r w:rsidR="000D6848">
        <w:rPr>
          <w:rStyle w:val="Emphasis"/>
        </w:rPr>
        <w:t>the short-term outlook</w:t>
      </w:r>
      <w:r w:rsidR="0078243E">
        <w:rPr>
          <w:rStyle w:val="Emphasis"/>
        </w:rPr>
        <w:t xml:space="preserve"> for growth</w:t>
      </w:r>
      <w:r w:rsidR="000D6848">
        <w:rPr>
          <w:rStyle w:val="Emphasis"/>
        </w:rPr>
        <w:t xml:space="preserve">, as the shocks to energy prices and </w:t>
      </w:r>
      <w:r w:rsidR="0078243E">
        <w:rPr>
          <w:rStyle w:val="Emphasis"/>
        </w:rPr>
        <w:t>increase in</w:t>
      </w:r>
      <w:r w:rsidR="00DE2376">
        <w:rPr>
          <w:rStyle w:val="Emphasis"/>
        </w:rPr>
        <w:t xml:space="preserve"> </w:t>
      </w:r>
      <w:r w:rsidR="000D6848">
        <w:rPr>
          <w:rStyle w:val="Emphasis"/>
        </w:rPr>
        <w:t xml:space="preserve">uncertainty will likely </w:t>
      </w:r>
      <w:r w:rsidR="004D43A8">
        <w:rPr>
          <w:rStyle w:val="Emphasis"/>
        </w:rPr>
        <w:t>lead to</w:t>
      </w:r>
      <w:r w:rsidR="000D6848">
        <w:rPr>
          <w:rStyle w:val="Emphasis"/>
        </w:rPr>
        <w:t xml:space="preserve"> more subdued consumption and investment.</w:t>
      </w:r>
      <w:r w:rsidR="008922FD">
        <w:rPr>
          <w:rStyle w:val="Emphasis"/>
        </w:rPr>
        <w:t xml:space="preserve"> </w:t>
      </w:r>
      <w:r w:rsidR="003A1A66">
        <w:rPr>
          <w:rStyle w:val="Emphasis"/>
        </w:rPr>
        <w:t>Conditional on</w:t>
      </w:r>
      <w:r w:rsidR="00673D57">
        <w:rPr>
          <w:rStyle w:val="Emphasis"/>
        </w:rPr>
        <w:t xml:space="preserve"> a relatively rapid redu</w:t>
      </w:r>
      <w:r w:rsidR="006063EC">
        <w:rPr>
          <w:rStyle w:val="Emphasis"/>
        </w:rPr>
        <w:t>c</w:t>
      </w:r>
      <w:r w:rsidR="00673D57">
        <w:rPr>
          <w:rStyle w:val="Emphasis"/>
        </w:rPr>
        <w:t>tion in energy prices</w:t>
      </w:r>
      <w:r w:rsidR="009231F4">
        <w:rPr>
          <w:rStyle w:val="Emphasis"/>
        </w:rPr>
        <w:t xml:space="preserve">, as </w:t>
      </w:r>
      <w:r w:rsidR="0078243E">
        <w:rPr>
          <w:rStyle w:val="Emphasis"/>
        </w:rPr>
        <w:t xml:space="preserve">is </w:t>
      </w:r>
      <w:r w:rsidR="009231F4">
        <w:rPr>
          <w:rStyle w:val="Emphasis"/>
        </w:rPr>
        <w:t>priced in</w:t>
      </w:r>
      <w:r w:rsidR="0078243E">
        <w:rPr>
          <w:rStyle w:val="Emphasis"/>
        </w:rPr>
        <w:t xml:space="preserve"> </w:t>
      </w:r>
      <w:r w:rsidR="00DE2376">
        <w:rPr>
          <w:rStyle w:val="Emphasis"/>
        </w:rPr>
        <w:t>by</w:t>
      </w:r>
      <w:r w:rsidR="009231F4">
        <w:rPr>
          <w:rStyle w:val="Emphasis"/>
        </w:rPr>
        <w:t xml:space="preserve"> the energy commodit</w:t>
      </w:r>
      <w:r w:rsidR="0078243E">
        <w:rPr>
          <w:rStyle w:val="Emphasis"/>
        </w:rPr>
        <w:t>y</w:t>
      </w:r>
      <w:r w:rsidR="009231F4">
        <w:rPr>
          <w:rStyle w:val="Emphasis"/>
        </w:rPr>
        <w:t xml:space="preserve"> futures markets, </w:t>
      </w:r>
      <w:r w:rsidR="006063EC">
        <w:rPr>
          <w:rStyle w:val="Emphasis"/>
        </w:rPr>
        <w:t xml:space="preserve">and </w:t>
      </w:r>
      <w:r w:rsidR="004D43A8">
        <w:rPr>
          <w:rStyle w:val="Emphasis"/>
        </w:rPr>
        <w:t xml:space="preserve">in </w:t>
      </w:r>
      <w:r w:rsidR="006063EC">
        <w:rPr>
          <w:rStyle w:val="Emphasis"/>
        </w:rPr>
        <w:t>uncertainty</w:t>
      </w:r>
      <w:r w:rsidR="00673D57">
        <w:rPr>
          <w:rStyle w:val="Emphasis"/>
        </w:rPr>
        <w:t xml:space="preserve">, this </w:t>
      </w:r>
      <w:r w:rsidR="00C90536">
        <w:rPr>
          <w:rStyle w:val="Emphasis"/>
        </w:rPr>
        <w:t xml:space="preserve">slowdown </w:t>
      </w:r>
      <w:r w:rsidR="00673D57">
        <w:rPr>
          <w:rStyle w:val="Emphasis"/>
        </w:rPr>
        <w:t>is expected to be temporary. Over the medium term</w:t>
      </w:r>
      <w:r w:rsidR="00806248">
        <w:rPr>
          <w:rStyle w:val="Emphasis"/>
        </w:rPr>
        <w:t>,</w:t>
      </w:r>
      <w:r w:rsidR="00C90536">
        <w:rPr>
          <w:rStyle w:val="Emphasis"/>
        </w:rPr>
        <w:t xml:space="preserve"> d</w:t>
      </w:r>
      <w:r w:rsidR="00E14986">
        <w:rPr>
          <w:rStyle w:val="Emphasis"/>
        </w:rPr>
        <w:t xml:space="preserve">omestic demand </w:t>
      </w:r>
      <w:r w:rsidR="00E811DD">
        <w:rPr>
          <w:rStyle w:val="Emphasis"/>
        </w:rPr>
        <w:t xml:space="preserve">should </w:t>
      </w:r>
      <w:r w:rsidR="00E14986">
        <w:rPr>
          <w:rStyle w:val="Emphasis"/>
        </w:rPr>
        <w:t xml:space="preserve">remain the main driver of euro area growth, bolstered by </w:t>
      </w:r>
      <w:r w:rsidR="00E02FA1">
        <w:rPr>
          <w:rStyle w:val="Emphasis"/>
        </w:rPr>
        <w:t>a resilient labour market</w:t>
      </w:r>
      <w:r w:rsidR="00E045AE">
        <w:rPr>
          <w:rStyle w:val="Emphasis"/>
        </w:rPr>
        <w:t xml:space="preserve"> and</w:t>
      </w:r>
      <w:r w:rsidR="00E14986">
        <w:rPr>
          <w:rStyle w:val="Emphasis"/>
        </w:rPr>
        <w:t xml:space="preserve"> </w:t>
      </w:r>
      <w:r w:rsidR="00E14986" w:rsidRPr="00E76E4F">
        <w:rPr>
          <w:rStyle w:val="Emphasis"/>
        </w:rPr>
        <w:t>government spending on infrastructure and defence</w:t>
      </w:r>
      <w:r w:rsidR="00E14986">
        <w:rPr>
          <w:rStyle w:val="Emphasis"/>
        </w:rPr>
        <w:t>, especially</w:t>
      </w:r>
      <w:r w:rsidR="00E14986" w:rsidRPr="00E76E4F">
        <w:rPr>
          <w:rStyle w:val="Emphasis"/>
        </w:rPr>
        <w:t xml:space="preserve"> in Germany</w:t>
      </w:r>
      <w:r w:rsidR="00E14986">
        <w:rPr>
          <w:rStyle w:val="Emphasis"/>
        </w:rPr>
        <w:t xml:space="preserve">. On the external side, </w:t>
      </w:r>
      <w:r w:rsidR="00547542">
        <w:rPr>
          <w:rStyle w:val="Emphasis"/>
        </w:rPr>
        <w:t xml:space="preserve">while export growth is </w:t>
      </w:r>
      <w:r w:rsidR="008D4E06">
        <w:rPr>
          <w:rStyle w:val="Emphasis"/>
        </w:rPr>
        <w:t>expected to pick up on the back of improving foreign demand</w:t>
      </w:r>
      <w:r w:rsidR="00940BCC">
        <w:rPr>
          <w:rStyle w:val="Emphasis"/>
        </w:rPr>
        <w:t xml:space="preserve">, the euro area </w:t>
      </w:r>
      <w:r w:rsidR="00FB22B5">
        <w:rPr>
          <w:rStyle w:val="Emphasis"/>
        </w:rPr>
        <w:t>will likely</w:t>
      </w:r>
      <w:r w:rsidR="00C8397D">
        <w:rPr>
          <w:rStyle w:val="Emphasis"/>
        </w:rPr>
        <w:t xml:space="preserve"> experience</w:t>
      </w:r>
      <w:r w:rsidR="00FB22B5">
        <w:rPr>
          <w:rStyle w:val="Emphasis"/>
        </w:rPr>
        <w:t xml:space="preserve"> </w:t>
      </w:r>
      <w:r w:rsidR="008342E1">
        <w:rPr>
          <w:rStyle w:val="Emphasis"/>
        </w:rPr>
        <w:t xml:space="preserve">a </w:t>
      </w:r>
      <w:r w:rsidR="00940BCC">
        <w:rPr>
          <w:rStyle w:val="Emphasis"/>
        </w:rPr>
        <w:t>continue</w:t>
      </w:r>
      <w:r w:rsidR="008342E1">
        <w:rPr>
          <w:rStyle w:val="Emphasis"/>
        </w:rPr>
        <w:t xml:space="preserve">d loss of </w:t>
      </w:r>
      <w:r w:rsidR="002D6E90">
        <w:rPr>
          <w:rStyle w:val="Emphasis"/>
        </w:rPr>
        <w:t xml:space="preserve">global </w:t>
      </w:r>
      <w:r w:rsidR="00453057">
        <w:rPr>
          <w:rStyle w:val="Emphasis"/>
        </w:rPr>
        <w:t>market shares, given persist</w:t>
      </w:r>
      <w:r w:rsidR="0033185D">
        <w:rPr>
          <w:rStyle w:val="Emphasis"/>
        </w:rPr>
        <w:t>ent</w:t>
      </w:r>
      <w:r w:rsidR="00453057">
        <w:rPr>
          <w:rStyle w:val="Emphasis"/>
        </w:rPr>
        <w:t xml:space="preserve"> </w:t>
      </w:r>
      <w:r w:rsidR="00E14986">
        <w:rPr>
          <w:rStyle w:val="Emphasis"/>
        </w:rPr>
        <w:t xml:space="preserve">competitiveness challenges, including </w:t>
      </w:r>
      <w:r w:rsidR="00D540C6" w:rsidRPr="00D540C6">
        <w:rPr>
          <w:rStyle w:val="Emphasis"/>
        </w:rPr>
        <w:t xml:space="preserve">some that are </w:t>
      </w:r>
      <w:r w:rsidR="00E14986">
        <w:rPr>
          <w:rStyle w:val="Emphasis"/>
        </w:rPr>
        <w:t>of a structural nature</w:t>
      </w:r>
      <w:r w:rsidR="00451941">
        <w:rPr>
          <w:rStyle w:val="Emphasis"/>
        </w:rPr>
        <w:t xml:space="preserve">, and notwithstanding </w:t>
      </w:r>
      <w:r w:rsidR="0078243E">
        <w:rPr>
          <w:rStyle w:val="Emphasis"/>
        </w:rPr>
        <w:t>the fact that</w:t>
      </w:r>
      <w:r w:rsidR="00451941">
        <w:rPr>
          <w:rStyle w:val="Emphasis"/>
        </w:rPr>
        <w:t xml:space="preserve"> tariffs on exports to the U</w:t>
      </w:r>
      <w:r w:rsidR="00DE2376">
        <w:rPr>
          <w:rStyle w:val="Emphasis"/>
        </w:rPr>
        <w:t xml:space="preserve">nited </w:t>
      </w:r>
      <w:r w:rsidR="00451941">
        <w:rPr>
          <w:rStyle w:val="Emphasis"/>
        </w:rPr>
        <w:t>S</w:t>
      </w:r>
      <w:r w:rsidR="00DE2376">
        <w:rPr>
          <w:rStyle w:val="Emphasis"/>
        </w:rPr>
        <w:t>tates</w:t>
      </w:r>
      <w:r w:rsidR="006A5228">
        <w:rPr>
          <w:rStyle w:val="Emphasis"/>
        </w:rPr>
        <w:t xml:space="preserve"> </w:t>
      </w:r>
      <w:r w:rsidR="0078243E">
        <w:rPr>
          <w:rStyle w:val="Emphasis"/>
        </w:rPr>
        <w:t xml:space="preserve">are somewhat lower than </w:t>
      </w:r>
      <w:r w:rsidR="00D540C6">
        <w:rPr>
          <w:rStyle w:val="Emphasis"/>
        </w:rPr>
        <w:t>at the time of</w:t>
      </w:r>
      <w:r w:rsidR="00531F94">
        <w:rPr>
          <w:rStyle w:val="Emphasis"/>
        </w:rPr>
        <w:t xml:space="preserve"> the December </w:t>
      </w:r>
      <w:r w:rsidR="00DB189E">
        <w:rPr>
          <w:rStyle w:val="Emphasis"/>
        </w:rPr>
        <w:t>projections</w:t>
      </w:r>
      <w:r w:rsidR="00CA367E">
        <w:rPr>
          <w:rStyle w:val="Emphasis"/>
        </w:rPr>
        <w:t>.</w:t>
      </w:r>
      <w:r w:rsidR="00C713EA">
        <w:rPr>
          <w:rStyle w:val="Emphasis"/>
        </w:rPr>
        <w:t xml:space="preserve"> </w:t>
      </w:r>
      <w:r w:rsidR="00AC0739">
        <w:rPr>
          <w:rStyle w:val="Emphasis"/>
        </w:rPr>
        <w:t>The baseline projections foresee a</w:t>
      </w:r>
      <w:r w:rsidR="00E14986" w:rsidRPr="00E76E4F">
        <w:rPr>
          <w:rStyle w:val="Emphasis"/>
        </w:rPr>
        <w:t xml:space="preserve">nnual real GDP growth </w:t>
      </w:r>
      <w:r w:rsidR="00DE2376">
        <w:rPr>
          <w:rStyle w:val="Emphasis"/>
        </w:rPr>
        <w:t>of</w:t>
      </w:r>
      <w:r w:rsidR="00E14986" w:rsidRPr="00E76E4F">
        <w:rPr>
          <w:rStyle w:val="Emphasis"/>
        </w:rPr>
        <w:t xml:space="preserve"> </w:t>
      </w:r>
      <w:r w:rsidR="00F13284">
        <w:rPr>
          <w:rStyle w:val="Emphasis"/>
        </w:rPr>
        <w:t>0.9</w:t>
      </w:r>
      <w:r w:rsidR="00E14986">
        <w:rPr>
          <w:rStyle w:val="Emphasis"/>
        </w:rPr>
        <w:t xml:space="preserve">% in </w:t>
      </w:r>
      <w:r w:rsidR="00E14986" w:rsidRPr="00E76E4F">
        <w:rPr>
          <w:rStyle w:val="Emphasis"/>
        </w:rPr>
        <w:t>2026</w:t>
      </w:r>
      <w:r w:rsidR="00E703D6">
        <w:rPr>
          <w:rStyle w:val="Emphasis"/>
        </w:rPr>
        <w:t>,</w:t>
      </w:r>
      <w:r w:rsidR="007F3977">
        <w:rPr>
          <w:rStyle w:val="Emphasis"/>
        </w:rPr>
        <w:t xml:space="preserve"> </w:t>
      </w:r>
      <w:r w:rsidR="00E14986" w:rsidRPr="00E76E4F">
        <w:rPr>
          <w:rStyle w:val="Emphasis"/>
        </w:rPr>
        <w:t>1.</w:t>
      </w:r>
      <w:r w:rsidR="00F13284">
        <w:rPr>
          <w:rStyle w:val="Emphasis"/>
        </w:rPr>
        <w:t>3</w:t>
      </w:r>
      <w:r w:rsidR="00E14986" w:rsidRPr="00E76E4F">
        <w:rPr>
          <w:rStyle w:val="Emphasis"/>
        </w:rPr>
        <w:t>% in 2027</w:t>
      </w:r>
      <w:r w:rsidR="00E14986">
        <w:rPr>
          <w:rStyle w:val="Emphasis"/>
        </w:rPr>
        <w:t xml:space="preserve"> </w:t>
      </w:r>
      <w:r w:rsidR="00E14986">
        <w:rPr>
          <w:rStyle w:val="Emphasis"/>
        </w:rPr>
        <w:lastRenderedPageBreak/>
        <w:t>and</w:t>
      </w:r>
      <w:r w:rsidR="00E14986" w:rsidRPr="00E76E4F">
        <w:rPr>
          <w:rStyle w:val="Emphasis"/>
        </w:rPr>
        <w:t xml:space="preserve"> </w:t>
      </w:r>
      <w:r w:rsidR="00E703D6">
        <w:rPr>
          <w:rStyle w:val="Emphasis"/>
        </w:rPr>
        <w:t>1.</w:t>
      </w:r>
      <w:r w:rsidR="00F13284">
        <w:rPr>
          <w:rStyle w:val="Emphasis"/>
        </w:rPr>
        <w:t>4</w:t>
      </w:r>
      <w:r w:rsidR="00E703D6">
        <w:rPr>
          <w:rStyle w:val="Emphasis"/>
        </w:rPr>
        <w:t xml:space="preserve">% in </w:t>
      </w:r>
      <w:r w:rsidR="00E14986">
        <w:rPr>
          <w:rStyle w:val="Emphasis"/>
        </w:rPr>
        <w:t xml:space="preserve">2028. </w:t>
      </w:r>
      <w:r w:rsidR="00E14986" w:rsidRPr="00E76E4F">
        <w:rPr>
          <w:rStyle w:val="Emphasis"/>
        </w:rPr>
        <w:t xml:space="preserve">Compared with the </w:t>
      </w:r>
      <w:r w:rsidR="00CA367E">
        <w:rPr>
          <w:rStyle w:val="Emphasis"/>
        </w:rPr>
        <w:t>December</w:t>
      </w:r>
      <w:r w:rsidR="00CA367E" w:rsidRPr="00E76E4F">
        <w:rPr>
          <w:rStyle w:val="Emphasis"/>
        </w:rPr>
        <w:t xml:space="preserve"> </w:t>
      </w:r>
      <w:r w:rsidR="00E14986" w:rsidRPr="00E76E4F">
        <w:rPr>
          <w:rStyle w:val="Emphasis"/>
        </w:rPr>
        <w:t xml:space="preserve">2025 projections, GDP growth has been revised </w:t>
      </w:r>
      <w:r w:rsidR="00E703D6">
        <w:rPr>
          <w:rStyle w:val="Emphasis"/>
        </w:rPr>
        <w:t>down</w:t>
      </w:r>
      <w:r w:rsidR="00E02FA1">
        <w:rPr>
          <w:rStyle w:val="Emphasis"/>
        </w:rPr>
        <w:t xml:space="preserve"> by 0.3 p</w:t>
      </w:r>
      <w:r w:rsidR="00DE2376">
        <w:rPr>
          <w:rStyle w:val="Emphasis"/>
        </w:rPr>
        <w:t xml:space="preserve">ercentage </w:t>
      </w:r>
      <w:r w:rsidR="00E02FA1">
        <w:rPr>
          <w:rStyle w:val="Emphasis"/>
        </w:rPr>
        <w:t>p</w:t>
      </w:r>
      <w:r w:rsidR="00DE2376">
        <w:rPr>
          <w:rStyle w:val="Emphasis"/>
        </w:rPr>
        <w:t>oints</w:t>
      </w:r>
      <w:r w:rsidR="00E703D6">
        <w:rPr>
          <w:rStyle w:val="Emphasis"/>
        </w:rPr>
        <w:t xml:space="preserve"> </w:t>
      </w:r>
      <w:r w:rsidR="004A54A0">
        <w:rPr>
          <w:rStyle w:val="Emphasis"/>
        </w:rPr>
        <w:t xml:space="preserve">for </w:t>
      </w:r>
      <w:r w:rsidR="00BF6B7E">
        <w:rPr>
          <w:rStyle w:val="Emphasis"/>
        </w:rPr>
        <w:t>20</w:t>
      </w:r>
      <w:r w:rsidR="004A54A0">
        <w:rPr>
          <w:rStyle w:val="Emphasis"/>
        </w:rPr>
        <w:t>26</w:t>
      </w:r>
      <w:r w:rsidR="00F13284">
        <w:rPr>
          <w:rStyle w:val="Emphasis"/>
        </w:rPr>
        <w:t xml:space="preserve"> and </w:t>
      </w:r>
      <w:r w:rsidR="00E02FA1">
        <w:rPr>
          <w:rStyle w:val="Emphasis"/>
        </w:rPr>
        <w:t xml:space="preserve">by 0.1 </w:t>
      </w:r>
      <w:r w:rsidR="00DE2376">
        <w:rPr>
          <w:rStyle w:val="Emphasis"/>
        </w:rPr>
        <w:t>percentage points</w:t>
      </w:r>
      <w:r w:rsidR="00E02FA1">
        <w:rPr>
          <w:rStyle w:val="Emphasis"/>
        </w:rPr>
        <w:t xml:space="preserve"> for </w:t>
      </w:r>
      <w:r w:rsidR="00F13284">
        <w:rPr>
          <w:rStyle w:val="Emphasis"/>
        </w:rPr>
        <w:t>2027</w:t>
      </w:r>
      <w:r w:rsidR="00E14986" w:rsidRPr="00E76E4F">
        <w:rPr>
          <w:rStyle w:val="Emphasis"/>
        </w:rPr>
        <w:t xml:space="preserve">, </w:t>
      </w:r>
      <w:r w:rsidR="00E703D6">
        <w:rPr>
          <w:rStyle w:val="Emphasis"/>
        </w:rPr>
        <w:t xml:space="preserve">on account of the escalating </w:t>
      </w:r>
      <w:r w:rsidR="008922FD">
        <w:rPr>
          <w:rStyle w:val="Emphasis"/>
        </w:rPr>
        <w:t>war</w:t>
      </w:r>
      <w:r w:rsidR="00E703D6" w:rsidRPr="00704292">
        <w:rPr>
          <w:rStyle w:val="Emphasis"/>
        </w:rPr>
        <w:t xml:space="preserve"> in the </w:t>
      </w:r>
      <w:r w:rsidR="00E703D6">
        <w:rPr>
          <w:rStyle w:val="Emphasis"/>
        </w:rPr>
        <w:t>Middle East</w:t>
      </w:r>
      <w:r w:rsidR="00E02FA1">
        <w:rPr>
          <w:rStyle w:val="Emphasis"/>
        </w:rPr>
        <w:t xml:space="preserve">, while for 2028 it is </w:t>
      </w:r>
      <w:r w:rsidR="00C54A10">
        <w:rPr>
          <w:rStyle w:val="Emphasis"/>
        </w:rPr>
        <w:t>unchanged</w:t>
      </w:r>
      <w:r w:rsidR="00E14986">
        <w:rPr>
          <w:rStyle w:val="Emphasis"/>
        </w:rPr>
        <w:t>.</w:t>
      </w:r>
      <w:r w:rsidR="00E14986" w:rsidRPr="00E76E4F">
        <w:rPr>
          <w:rStyle w:val="Emphasis"/>
        </w:rPr>
        <w:t xml:space="preserve"> </w:t>
      </w:r>
    </w:p>
    <w:p w14:paraId="42982969" w14:textId="75D6386F" w:rsidR="00E14986" w:rsidRDefault="00E14986" w:rsidP="00E14986">
      <w:pPr>
        <w:rPr>
          <w:rStyle w:val="Emphasis"/>
        </w:rPr>
      </w:pPr>
      <w:r>
        <w:rPr>
          <w:rStyle w:val="Emphasis"/>
        </w:rPr>
        <w:t>I</w:t>
      </w:r>
      <w:r w:rsidRPr="00E76E4F">
        <w:rPr>
          <w:rStyle w:val="Emphasis"/>
        </w:rPr>
        <w:t>nflation</w:t>
      </w:r>
      <w:r w:rsidR="004A0E03">
        <w:rPr>
          <w:rStyle w:val="Emphasis"/>
        </w:rPr>
        <w:t>, as measured by the Harmonised Index of Consumer Prices (HICP),</w:t>
      </w:r>
      <w:r w:rsidRPr="00E76E4F">
        <w:rPr>
          <w:rStyle w:val="Emphasis"/>
        </w:rPr>
        <w:t xml:space="preserve"> is </w:t>
      </w:r>
      <w:r>
        <w:rPr>
          <w:rStyle w:val="Emphasis"/>
        </w:rPr>
        <w:t xml:space="preserve">projected to </w:t>
      </w:r>
      <w:r w:rsidR="004B27F2">
        <w:rPr>
          <w:rStyle w:val="Emphasis"/>
        </w:rPr>
        <w:t xml:space="preserve">increase sharply </w:t>
      </w:r>
      <w:r w:rsidR="00F968E1">
        <w:rPr>
          <w:rStyle w:val="Emphasis"/>
        </w:rPr>
        <w:t xml:space="preserve">to 3.1% </w:t>
      </w:r>
      <w:r w:rsidR="0078243E">
        <w:rPr>
          <w:rStyle w:val="Emphasis"/>
        </w:rPr>
        <w:t>in the second</w:t>
      </w:r>
      <w:r w:rsidR="004B27F2">
        <w:rPr>
          <w:rStyle w:val="Emphasis"/>
        </w:rPr>
        <w:t xml:space="preserve"> quarter</w:t>
      </w:r>
      <w:r w:rsidR="00F968E1">
        <w:rPr>
          <w:rStyle w:val="Emphasis"/>
        </w:rPr>
        <w:t xml:space="preserve"> of 2026</w:t>
      </w:r>
      <w:r w:rsidR="00A8168B">
        <w:rPr>
          <w:rStyle w:val="Emphasis"/>
        </w:rPr>
        <w:t>,</w:t>
      </w:r>
      <w:r w:rsidR="003B1DD0">
        <w:rPr>
          <w:rStyle w:val="Emphasis"/>
        </w:rPr>
        <w:t xml:space="preserve"> driven by a surge in energy inflation as a result of the Middle East crisis</w:t>
      </w:r>
      <w:r w:rsidR="004B27F2">
        <w:rPr>
          <w:rStyle w:val="Emphasis"/>
        </w:rPr>
        <w:t xml:space="preserve">, </w:t>
      </w:r>
      <w:r w:rsidR="006A5228">
        <w:rPr>
          <w:rStyle w:val="Emphasis"/>
        </w:rPr>
        <w:t>and then to</w:t>
      </w:r>
      <w:r w:rsidR="004B27F2">
        <w:rPr>
          <w:rStyle w:val="Emphasis"/>
        </w:rPr>
        <w:t xml:space="preserve"> declin</w:t>
      </w:r>
      <w:r w:rsidR="0078243E">
        <w:rPr>
          <w:rStyle w:val="Emphasis"/>
        </w:rPr>
        <w:t>e</w:t>
      </w:r>
      <w:r w:rsidR="004B27F2">
        <w:rPr>
          <w:rStyle w:val="Emphasis"/>
        </w:rPr>
        <w:t xml:space="preserve"> in the </w:t>
      </w:r>
      <w:r w:rsidR="0079679B">
        <w:rPr>
          <w:rStyle w:val="Emphasis"/>
        </w:rPr>
        <w:t>third</w:t>
      </w:r>
      <w:r w:rsidR="004B27F2">
        <w:rPr>
          <w:rStyle w:val="Emphasis"/>
        </w:rPr>
        <w:t xml:space="preserve"> quarter </w:t>
      </w:r>
      <w:r w:rsidR="0078243E">
        <w:rPr>
          <w:rStyle w:val="Emphasis"/>
        </w:rPr>
        <w:t>to 2.8%</w:t>
      </w:r>
      <w:r w:rsidR="004B27F2">
        <w:rPr>
          <w:rStyle w:val="Emphasis"/>
        </w:rPr>
        <w:t xml:space="preserve"> following </w:t>
      </w:r>
      <w:r w:rsidR="003B1DD0">
        <w:rPr>
          <w:rStyle w:val="Emphasis"/>
        </w:rPr>
        <w:t xml:space="preserve">declines in energy commodity prices </w:t>
      </w:r>
      <w:r w:rsidR="00BD73ED">
        <w:rPr>
          <w:rStyle w:val="Emphasis"/>
        </w:rPr>
        <w:t xml:space="preserve">as </w:t>
      </w:r>
      <w:r w:rsidR="003B1DD0">
        <w:rPr>
          <w:rStyle w:val="Emphasis"/>
        </w:rPr>
        <w:t>embedded in futures price</w:t>
      </w:r>
      <w:r w:rsidR="004B27F2">
        <w:rPr>
          <w:rStyle w:val="Emphasis"/>
        </w:rPr>
        <w:t>s.</w:t>
      </w:r>
      <w:r w:rsidR="003B1DD0">
        <w:rPr>
          <w:rStyle w:val="Emphasis"/>
        </w:rPr>
        <w:t xml:space="preserve"> </w:t>
      </w:r>
      <w:r w:rsidR="004B27F2">
        <w:rPr>
          <w:rStyle w:val="Emphasis"/>
        </w:rPr>
        <w:t>T</w:t>
      </w:r>
      <w:r w:rsidR="003B1DD0">
        <w:rPr>
          <w:rStyle w:val="Emphasis"/>
        </w:rPr>
        <w:t>he baseline</w:t>
      </w:r>
      <w:r w:rsidR="0078243E">
        <w:rPr>
          <w:rStyle w:val="Emphasis"/>
        </w:rPr>
        <w:t xml:space="preserve"> projections</w:t>
      </w:r>
      <w:r w:rsidR="003B1DD0">
        <w:rPr>
          <w:rStyle w:val="Emphasis"/>
        </w:rPr>
        <w:t xml:space="preserve"> foresee energy inflation turn</w:t>
      </w:r>
      <w:r w:rsidR="00A8168B">
        <w:rPr>
          <w:rStyle w:val="Emphasis"/>
        </w:rPr>
        <w:t>ing</w:t>
      </w:r>
      <w:r w:rsidR="003B1DD0">
        <w:rPr>
          <w:rStyle w:val="Emphasis"/>
        </w:rPr>
        <w:t xml:space="preserve"> negative in 2027</w:t>
      </w:r>
      <w:r w:rsidR="004B27F2">
        <w:rPr>
          <w:rStyle w:val="Emphasis"/>
        </w:rPr>
        <w:t xml:space="preserve">, </w:t>
      </w:r>
      <w:r w:rsidR="00594919">
        <w:rPr>
          <w:rStyle w:val="Emphasis"/>
        </w:rPr>
        <w:t>mainly</w:t>
      </w:r>
      <w:r w:rsidR="00A8168B">
        <w:rPr>
          <w:rStyle w:val="Emphasis"/>
        </w:rPr>
        <w:t xml:space="preserve"> owing</w:t>
      </w:r>
      <w:r w:rsidR="004B27F2">
        <w:rPr>
          <w:rStyle w:val="Emphasis"/>
        </w:rPr>
        <w:t xml:space="preserve"> to downward energy base effects,</w:t>
      </w:r>
      <w:r w:rsidR="003B1DD0">
        <w:rPr>
          <w:rStyle w:val="Emphasis"/>
        </w:rPr>
        <w:t xml:space="preserve"> </w:t>
      </w:r>
      <w:r w:rsidR="006A5228">
        <w:rPr>
          <w:rStyle w:val="Emphasis"/>
        </w:rPr>
        <w:t>and then</w:t>
      </w:r>
      <w:r w:rsidRPr="00653575">
        <w:rPr>
          <w:rStyle w:val="Emphasis"/>
        </w:rPr>
        <w:t xml:space="preserve"> increasing </w:t>
      </w:r>
      <w:r>
        <w:rPr>
          <w:rStyle w:val="Emphasis"/>
        </w:rPr>
        <w:t>notably</w:t>
      </w:r>
      <w:r w:rsidRPr="00653575">
        <w:rPr>
          <w:rStyle w:val="Emphasis"/>
        </w:rPr>
        <w:t xml:space="preserve"> in 2028 </w:t>
      </w:r>
      <w:r w:rsidR="0040741B">
        <w:rPr>
          <w:rStyle w:val="Emphasis"/>
        </w:rPr>
        <w:t xml:space="preserve">when </w:t>
      </w:r>
      <w:r w:rsidRPr="00653575">
        <w:rPr>
          <w:rStyle w:val="Emphasis"/>
        </w:rPr>
        <w:t>the</w:t>
      </w:r>
      <w:r>
        <w:rPr>
          <w:rStyle w:val="Emphasis"/>
        </w:rPr>
        <w:t xml:space="preserve"> </w:t>
      </w:r>
      <w:r w:rsidRPr="00653575">
        <w:rPr>
          <w:rStyle w:val="Emphasis"/>
        </w:rPr>
        <w:t>implementation</w:t>
      </w:r>
      <w:r w:rsidRPr="00E76E4F">
        <w:rPr>
          <w:rStyle w:val="Emphasis"/>
        </w:rPr>
        <w:t xml:space="preserve"> of the EU Emissions Trading System 2 (</w:t>
      </w:r>
      <w:r w:rsidRPr="0096211D">
        <w:rPr>
          <w:rStyle w:val="Emphasis"/>
        </w:rPr>
        <w:t xml:space="preserve">ETS2) </w:t>
      </w:r>
      <w:r w:rsidR="0040741B">
        <w:rPr>
          <w:rStyle w:val="Emphasis"/>
        </w:rPr>
        <w:t xml:space="preserve">is expected to have </w:t>
      </w:r>
      <w:r w:rsidRPr="0096211D">
        <w:rPr>
          <w:rStyle w:val="Emphasis"/>
        </w:rPr>
        <w:t xml:space="preserve">an upward impact of 0.2 </w:t>
      </w:r>
      <w:r>
        <w:rPr>
          <w:rStyle w:val="Emphasis"/>
        </w:rPr>
        <w:t>percentage points</w:t>
      </w:r>
      <w:r w:rsidR="006E556E">
        <w:rPr>
          <w:rStyle w:val="Emphasis"/>
        </w:rPr>
        <w:t xml:space="preserve"> on headline inflation</w:t>
      </w:r>
      <w:r w:rsidRPr="0096211D">
        <w:rPr>
          <w:rStyle w:val="Emphasis"/>
        </w:rPr>
        <w:t>.</w:t>
      </w:r>
      <w:r w:rsidRPr="00E76E4F">
        <w:rPr>
          <w:rStyle w:val="Emphasis"/>
        </w:rPr>
        <w:t xml:space="preserve"> Food inflation is </w:t>
      </w:r>
      <w:r w:rsidRPr="000C6AD9">
        <w:rPr>
          <w:rStyle w:val="Emphasis"/>
        </w:rPr>
        <w:t>projected</w:t>
      </w:r>
      <w:r w:rsidRPr="00E76E4F">
        <w:rPr>
          <w:rStyle w:val="Emphasis"/>
        </w:rPr>
        <w:t xml:space="preserve"> to </w:t>
      </w:r>
      <w:r w:rsidR="003B1DD0">
        <w:rPr>
          <w:rStyle w:val="Emphasis"/>
        </w:rPr>
        <w:t xml:space="preserve">pick up </w:t>
      </w:r>
      <w:r w:rsidR="00F968E1">
        <w:rPr>
          <w:rStyle w:val="Emphasis"/>
        </w:rPr>
        <w:t xml:space="preserve">from the end </w:t>
      </w:r>
      <w:r w:rsidR="00806248">
        <w:rPr>
          <w:rStyle w:val="Emphasis"/>
        </w:rPr>
        <w:t xml:space="preserve">of </w:t>
      </w:r>
      <w:r w:rsidR="00F968E1">
        <w:rPr>
          <w:rStyle w:val="Emphasis"/>
        </w:rPr>
        <w:t>2026</w:t>
      </w:r>
      <w:r w:rsidR="006A2056">
        <w:rPr>
          <w:rStyle w:val="Emphasis"/>
        </w:rPr>
        <w:t>,</w:t>
      </w:r>
      <w:r w:rsidR="003B1DD0">
        <w:rPr>
          <w:rStyle w:val="Emphasis"/>
        </w:rPr>
        <w:t xml:space="preserve"> as cost pressures from the spike in energy prices feed through to consumer </w:t>
      </w:r>
      <w:r w:rsidR="006A2056">
        <w:rPr>
          <w:rStyle w:val="Emphasis"/>
        </w:rPr>
        <w:t xml:space="preserve">food </w:t>
      </w:r>
      <w:r w:rsidR="003B1DD0">
        <w:rPr>
          <w:rStyle w:val="Emphasis"/>
        </w:rPr>
        <w:t>prices</w:t>
      </w:r>
      <w:r w:rsidR="006A2056">
        <w:rPr>
          <w:rStyle w:val="Emphasis"/>
        </w:rPr>
        <w:t>,</w:t>
      </w:r>
      <w:r w:rsidR="003B1DD0">
        <w:rPr>
          <w:rStyle w:val="Emphasis"/>
        </w:rPr>
        <w:t xml:space="preserve"> before easing in 2028</w:t>
      </w:r>
      <w:r w:rsidRPr="000C6AD9">
        <w:rPr>
          <w:rStyle w:val="Emphasis"/>
        </w:rPr>
        <w:t>.</w:t>
      </w:r>
      <w:r w:rsidRPr="00E76E4F">
        <w:rPr>
          <w:rStyle w:val="Emphasis"/>
        </w:rPr>
        <w:t xml:space="preserve"> HICP inflation excluding energy and food (HICPX)</w:t>
      </w:r>
      <w:r w:rsidR="004B27F2">
        <w:rPr>
          <w:rStyle w:val="Emphasis"/>
        </w:rPr>
        <w:t xml:space="preserve"> </w:t>
      </w:r>
      <w:r w:rsidRPr="00E76E4F">
        <w:rPr>
          <w:rStyle w:val="Emphasis"/>
        </w:rPr>
        <w:t xml:space="preserve">is </w:t>
      </w:r>
      <w:r>
        <w:rPr>
          <w:rStyle w:val="Emphasis"/>
        </w:rPr>
        <w:t>project</w:t>
      </w:r>
      <w:r w:rsidRPr="00045B4E">
        <w:rPr>
          <w:rStyle w:val="Emphasis"/>
        </w:rPr>
        <w:t>ed to moderate</w:t>
      </w:r>
      <w:r w:rsidRPr="00C056FE">
        <w:rPr>
          <w:rStyle w:val="Emphasis"/>
        </w:rPr>
        <w:t xml:space="preserve"> </w:t>
      </w:r>
      <w:r w:rsidRPr="00336853">
        <w:rPr>
          <w:rStyle w:val="Emphasis"/>
        </w:rPr>
        <w:t xml:space="preserve">from </w:t>
      </w:r>
      <w:r>
        <w:rPr>
          <w:rStyle w:val="Emphasis"/>
        </w:rPr>
        <w:t>2.4</w:t>
      </w:r>
      <w:r w:rsidRPr="00336853">
        <w:rPr>
          <w:rStyle w:val="Emphasis"/>
        </w:rPr>
        <w:t>% in 202</w:t>
      </w:r>
      <w:r>
        <w:rPr>
          <w:rStyle w:val="Emphasis"/>
        </w:rPr>
        <w:t>5</w:t>
      </w:r>
      <w:r w:rsidRPr="00336853">
        <w:rPr>
          <w:rStyle w:val="Emphasis"/>
        </w:rPr>
        <w:t xml:space="preserve"> to</w:t>
      </w:r>
      <w:r>
        <w:rPr>
          <w:rStyle w:val="Emphasis"/>
        </w:rPr>
        <w:t xml:space="preserve"> </w:t>
      </w:r>
      <w:r w:rsidR="006A5228">
        <w:rPr>
          <w:rStyle w:val="Emphasis"/>
        </w:rPr>
        <w:t xml:space="preserve">stand at </w:t>
      </w:r>
      <w:r>
        <w:rPr>
          <w:rStyle w:val="Emphasis"/>
        </w:rPr>
        <w:t>2.</w:t>
      </w:r>
      <w:r w:rsidR="00BD73ED">
        <w:rPr>
          <w:rStyle w:val="Emphasis"/>
        </w:rPr>
        <w:t>1</w:t>
      </w:r>
      <w:r w:rsidRPr="00336853">
        <w:rPr>
          <w:rStyle w:val="Emphasis"/>
        </w:rPr>
        <w:t>% in 202</w:t>
      </w:r>
      <w:r>
        <w:rPr>
          <w:rStyle w:val="Emphasis"/>
        </w:rPr>
        <w:t>8</w:t>
      </w:r>
      <w:r w:rsidR="003B1DD0">
        <w:rPr>
          <w:rStyle w:val="Emphasis"/>
        </w:rPr>
        <w:t xml:space="preserve">. While HICPX </w:t>
      </w:r>
      <w:r w:rsidR="004A0E03">
        <w:rPr>
          <w:rStyle w:val="Emphasis"/>
        </w:rPr>
        <w:t xml:space="preserve">inflation </w:t>
      </w:r>
      <w:r w:rsidR="003B1DD0">
        <w:rPr>
          <w:rStyle w:val="Emphasis"/>
        </w:rPr>
        <w:t xml:space="preserve">is also affected by cost pressures </w:t>
      </w:r>
      <w:r w:rsidR="004A0E03">
        <w:rPr>
          <w:rStyle w:val="Emphasis"/>
        </w:rPr>
        <w:t xml:space="preserve">stemming </w:t>
      </w:r>
      <w:r w:rsidR="003B1DD0">
        <w:rPr>
          <w:rStyle w:val="Emphasis"/>
        </w:rPr>
        <w:t>from higher energy prices</w:t>
      </w:r>
      <w:r w:rsidR="004A0E03">
        <w:rPr>
          <w:rStyle w:val="Emphasis"/>
        </w:rPr>
        <w:t>,</w:t>
      </w:r>
      <w:r w:rsidR="007E6ACF">
        <w:rPr>
          <w:rStyle w:val="Emphasis"/>
        </w:rPr>
        <w:t xml:space="preserve"> this is</w:t>
      </w:r>
      <w:r w:rsidR="006A2056">
        <w:rPr>
          <w:rStyle w:val="Emphasis"/>
        </w:rPr>
        <w:t xml:space="preserve"> seen to be</w:t>
      </w:r>
      <w:r w:rsidR="007E6ACF">
        <w:rPr>
          <w:rStyle w:val="Emphasis"/>
        </w:rPr>
        <w:t xml:space="preserve"> tempered by </w:t>
      </w:r>
      <w:r w:rsidR="00876089">
        <w:rPr>
          <w:rStyle w:val="Emphasis"/>
        </w:rPr>
        <w:t>some easing in</w:t>
      </w:r>
      <w:r>
        <w:rPr>
          <w:rStyle w:val="Emphasis"/>
        </w:rPr>
        <w:t xml:space="preserve"> labour cost</w:t>
      </w:r>
      <w:r w:rsidRPr="00C11DA9">
        <w:rPr>
          <w:rStyle w:val="Emphasis"/>
        </w:rPr>
        <w:t xml:space="preserve"> </w:t>
      </w:r>
      <w:r w:rsidRPr="00E76E4F">
        <w:rPr>
          <w:rStyle w:val="Emphasis"/>
        </w:rPr>
        <w:t>pressures</w:t>
      </w:r>
      <w:r w:rsidR="007E6ACF">
        <w:rPr>
          <w:rStyle w:val="Emphasis"/>
        </w:rPr>
        <w:t>,</w:t>
      </w:r>
      <w:r w:rsidR="00FA775F">
        <w:rPr>
          <w:rStyle w:val="Emphasis"/>
        </w:rPr>
        <w:t xml:space="preserve"> </w:t>
      </w:r>
      <w:r w:rsidRPr="00E76E4F">
        <w:rPr>
          <w:rStyle w:val="Emphasis"/>
        </w:rPr>
        <w:t>the</w:t>
      </w:r>
      <w:r>
        <w:rPr>
          <w:rStyle w:val="Emphasis"/>
        </w:rPr>
        <w:t xml:space="preserve"> past </w:t>
      </w:r>
      <w:r w:rsidRPr="00E76E4F">
        <w:rPr>
          <w:rStyle w:val="Emphasis"/>
        </w:rPr>
        <w:t xml:space="preserve">appreciation of the euro </w:t>
      </w:r>
      <w:r w:rsidR="002815A8">
        <w:rPr>
          <w:rStyle w:val="Emphasis"/>
        </w:rPr>
        <w:t>and</w:t>
      </w:r>
      <w:r w:rsidR="006D3529">
        <w:rPr>
          <w:rStyle w:val="Emphasis"/>
        </w:rPr>
        <w:t xml:space="preserve"> </w:t>
      </w:r>
      <w:r w:rsidR="002815A8" w:rsidRPr="002815A8">
        <w:rPr>
          <w:rStyle w:val="Emphasis"/>
        </w:rPr>
        <w:t>import penetration from China</w:t>
      </w:r>
      <w:r w:rsidRPr="00E76E4F">
        <w:rPr>
          <w:rStyle w:val="Emphasis"/>
        </w:rPr>
        <w:t>.</w:t>
      </w:r>
      <w:r w:rsidR="002B5C52">
        <w:rPr>
          <w:rStyle w:val="Emphasis"/>
        </w:rPr>
        <w:t xml:space="preserve"> Overall</w:t>
      </w:r>
      <w:r w:rsidR="004A0E03">
        <w:rPr>
          <w:rStyle w:val="Emphasis"/>
        </w:rPr>
        <w:t>,</w:t>
      </w:r>
      <w:r w:rsidR="002B5C52">
        <w:rPr>
          <w:rStyle w:val="Emphasis"/>
        </w:rPr>
        <w:t xml:space="preserve"> </w:t>
      </w:r>
      <w:r w:rsidR="00AC0739">
        <w:rPr>
          <w:rStyle w:val="Emphasis"/>
        </w:rPr>
        <w:t>the baseline</w:t>
      </w:r>
      <w:r w:rsidR="006A2056">
        <w:rPr>
          <w:rStyle w:val="Emphasis"/>
        </w:rPr>
        <w:t xml:space="preserve"> projections</w:t>
      </w:r>
      <w:r w:rsidR="00AC0739">
        <w:rPr>
          <w:rStyle w:val="Emphasis"/>
        </w:rPr>
        <w:t xml:space="preserve"> foresee </w:t>
      </w:r>
      <w:r w:rsidR="002B5C52">
        <w:rPr>
          <w:rStyle w:val="Emphasis"/>
        </w:rPr>
        <w:t>HICP inflation pick</w:t>
      </w:r>
      <w:r w:rsidR="004A0E03">
        <w:rPr>
          <w:rStyle w:val="Emphasis"/>
        </w:rPr>
        <w:t>ing</w:t>
      </w:r>
      <w:r w:rsidR="002B5C52">
        <w:rPr>
          <w:rStyle w:val="Emphasis"/>
        </w:rPr>
        <w:t xml:space="preserve"> up from 2.1% in 2025 to 2.</w:t>
      </w:r>
      <w:r w:rsidR="004B27F2">
        <w:rPr>
          <w:rStyle w:val="Emphasis"/>
        </w:rPr>
        <w:t>6</w:t>
      </w:r>
      <w:r w:rsidR="002B5C52">
        <w:rPr>
          <w:rStyle w:val="Emphasis"/>
        </w:rPr>
        <w:t>% in 2026</w:t>
      </w:r>
      <w:r w:rsidR="004A0E03">
        <w:rPr>
          <w:rStyle w:val="Emphasis"/>
        </w:rPr>
        <w:t>,</w:t>
      </w:r>
      <w:r w:rsidR="002B5C52">
        <w:rPr>
          <w:rStyle w:val="Emphasis"/>
        </w:rPr>
        <w:t xml:space="preserve"> before declining to </w:t>
      </w:r>
      <w:r w:rsidR="004B27F2">
        <w:rPr>
          <w:rStyle w:val="Emphasis"/>
        </w:rPr>
        <w:t>2.0</w:t>
      </w:r>
      <w:r w:rsidR="002B5C52">
        <w:rPr>
          <w:rStyle w:val="Emphasis"/>
        </w:rPr>
        <w:t xml:space="preserve">% in 2027 and </w:t>
      </w:r>
      <w:r w:rsidR="004A0E03">
        <w:rPr>
          <w:rStyle w:val="Emphasis"/>
        </w:rPr>
        <w:t xml:space="preserve">then </w:t>
      </w:r>
      <w:r w:rsidR="0079679B">
        <w:rPr>
          <w:rStyle w:val="Emphasis"/>
        </w:rPr>
        <w:t xml:space="preserve">ticking up to </w:t>
      </w:r>
      <w:r w:rsidR="002B5C52">
        <w:rPr>
          <w:rStyle w:val="Emphasis"/>
        </w:rPr>
        <w:t>2.</w:t>
      </w:r>
      <w:r w:rsidR="004B27F2">
        <w:rPr>
          <w:rStyle w:val="Emphasis"/>
        </w:rPr>
        <w:t>1</w:t>
      </w:r>
      <w:r w:rsidR="002B5C52">
        <w:rPr>
          <w:rStyle w:val="Emphasis"/>
        </w:rPr>
        <w:t>% in 2028.</w:t>
      </w:r>
      <w:r w:rsidRPr="00045B4E">
        <w:rPr>
          <w:rStyle w:val="Emphasis"/>
        </w:rPr>
        <w:t xml:space="preserve"> Wage growth </w:t>
      </w:r>
      <w:r w:rsidR="002A3D9E">
        <w:rPr>
          <w:rStyle w:val="Emphasis"/>
        </w:rPr>
        <w:t xml:space="preserve">will </w:t>
      </w:r>
      <w:r w:rsidRPr="00045B4E">
        <w:rPr>
          <w:rStyle w:val="Emphasis"/>
        </w:rPr>
        <w:t>moderat</w:t>
      </w:r>
      <w:r>
        <w:rPr>
          <w:rStyle w:val="Emphasis"/>
        </w:rPr>
        <w:t>e</w:t>
      </w:r>
      <w:r w:rsidRPr="00E76E4F">
        <w:rPr>
          <w:rStyle w:val="Emphasis"/>
        </w:rPr>
        <w:t xml:space="preserve"> </w:t>
      </w:r>
      <w:r w:rsidR="002A3D9E">
        <w:rPr>
          <w:rStyle w:val="Emphasis"/>
        </w:rPr>
        <w:t>over the coming years</w:t>
      </w:r>
      <w:r w:rsidR="004A0E03">
        <w:rPr>
          <w:rStyle w:val="Emphasis"/>
        </w:rPr>
        <w:t>,</w:t>
      </w:r>
      <w:r w:rsidR="002A3D9E">
        <w:rPr>
          <w:rStyle w:val="Emphasis"/>
        </w:rPr>
        <w:t xml:space="preserve"> albeit at a slower pace than</w:t>
      </w:r>
      <w:r w:rsidR="004A0E03">
        <w:rPr>
          <w:rStyle w:val="Emphasis"/>
        </w:rPr>
        <w:t xml:space="preserve"> </w:t>
      </w:r>
      <w:r w:rsidR="006A5228">
        <w:rPr>
          <w:rStyle w:val="Emphasis"/>
        </w:rPr>
        <w:t>foreseen</w:t>
      </w:r>
      <w:r w:rsidR="002A3D9E">
        <w:rPr>
          <w:rStyle w:val="Emphasis"/>
        </w:rPr>
        <w:t xml:space="preserve"> in previous projections</w:t>
      </w:r>
      <w:r w:rsidR="002A3D9E" w:rsidRPr="002A3D9E">
        <w:t xml:space="preserve"> </w:t>
      </w:r>
      <w:r w:rsidR="002A3D9E" w:rsidRPr="002A3D9E">
        <w:rPr>
          <w:rStyle w:val="Emphasis"/>
        </w:rPr>
        <w:t xml:space="preserve">on account of </w:t>
      </w:r>
      <w:r w:rsidR="009231F4">
        <w:rPr>
          <w:rStyle w:val="Emphasis"/>
        </w:rPr>
        <w:t xml:space="preserve">some </w:t>
      </w:r>
      <w:r w:rsidR="002A3D9E" w:rsidRPr="002A3D9E">
        <w:rPr>
          <w:rStyle w:val="Emphasis"/>
        </w:rPr>
        <w:t xml:space="preserve">inflation compensation effects related to the energy </w:t>
      </w:r>
      <w:r w:rsidR="00E95442">
        <w:rPr>
          <w:rStyle w:val="Emphasis"/>
        </w:rPr>
        <w:t xml:space="preserve">price </w:t>
      </w:r>
      <w:r w:rsidR="002A3D9E" w:rsidRPr="002A3D9E">
        <w:rPr>
          <w:rStyle w:val="Emphasis"/>
        </w:rPr>
        <w:t>shock</w:t>
      </w:r>
      <w:r w:rsidR="002A3D9E">
        <w:rPr>
          <w:rStyle w:val="Emphasis"/>
        </w:rPr>
        <w:t>.</w:t>
      </w:r>
      <w:r w:rsidR="002A3D9E" w:rsidRPr="002A3D9E">
        <w:rPr>
          <w:rStyle w:val="Emphasis"/>
        </w:rPr>
        <w:t xml:space="preserve"> </w:t>
      </w:r>
      <w:r w:rsidRPr="00C2002B">
        <w:rPr>
          <w:rStyle w:val="Emphasis"/>
        </w:rPr>
        <w:t xml:space="preserve">Compared </w:t>
      </w:r>
      <w:r>
        <w:rPr>
          <w:rStyle w:val="Emphasis"/>
        </w:rPr>
        <w:t>with</w:t>
      </w:r>
      <w:r w:rsidRPr="00C2002B">
        <w:rPr>
          <w:rStyle w:val="Emphasis"/>
        </w:rPr>
        <w:t xml:space="preserve"> the </w:t>
      </w:r>
      <w:r w:rsidR="00A7638E">
        <w:rPr>
          <w:rStyle w:val="Emphasis"/>
        </w:rPr>
        <w:t>Dec</w:t>
      </w:r>
      <w:r w:rsidRPr="00C2002B">
        <w:rPr>
          <w:rStyle w:val="Emphasis"/>
        </w:rPr>
        <w:t>ember 2025 projections, the outlook for headline HICP</w:t>
      </w:r>
      <w:r w:rsidR="00A518F0">
        <w:rPr>
          <w:rStyle w:val="Emphasis"/>
        </w:rPr>
        <w:t xml:space="preserve"> </w:t>
      </w:r>
      <w:r w:rsidR="004A0E03">
        <w:rPr>
          <w:rStyle w:val="Emphasis"/>
        </w:rPr>
        <w:t xml:space="preserve">inflation </w:t>
      </w:r>
      <w:r w:rsidR="00A518F0" w:rsidRPr="00A518F0">
        <w:rPr>
          <w:rStyle w:val="Emphasis"/>
        </w:rPr>
        <w:t>has been revised up by 0.</w:t>
      </w:r>
      <w:r w:rsidR="004B27F2">
        <w:rPr>
          <w:rStyle w:val="Emphasis"/>
        </w:rPr>
        <w:t>7</w:t>
      </w:r>
      <w:r w:rsidR="00A518F0" w:rsidRPr="00A518F0">
        <w:rPr>
          <w:rStyle w:val="Emphasis"/>
        </w:rPr>
        <w:t xml:space="preserve"> percentage points for 2026</w:t>
      </w:r>
      <w:r w:rsidR="004B27F2">
        <w:rPr>
          <w:rStyle w:val="Emphasis"/>
        </w:rPr>
        <w:t>, mainly</w:t>
      </w:r>
      <w:r w:rsidR="00A518F0" w:rsidRPr="00A518F0">
        <w:rPr>
          <w:rStyle w:val="Emphasis"/>
        </w:rPr>
        <w:t xml:space="preserve"> </w:t>
      </w:r>
      <w:r w:rsidR="004A0E03">
        <w:rPr>
          <w:rStyle w:val="Emphasis"/>
        </w:rPr>
        <w:t>owing</w:t>
      </w:r>
      <w:r w:rsidR="00A518F0" w:rsidRPr="00A518F0">
        <w:rPr>
          <w:rStyle w:val="Emphasis"/>
        </w:rPr>
        <w:t xml:space="preserve"> to </w:t>
      </w:r>
      <w:r w:rsidR="004A0E03">
        <w:rPr>
          <w:rStyle w:val="Emphasis"/>
        </w:rPr>
        <w:t xml:space="preserve">the </w:t>
      </w:r>
      <w:r w:rsidR="00A518F0" w:rsidRPr="00A518F0">
        <w:rPr>
          <w:rStyle w:val="Emphasis"/>
        </w:rPr>
        <w:t>energy</w:t>
      </w:r>
      <w:r w:rsidR="004A0E03">
        <w:rPr>
          <w:rStyle w:val="Emphasis"/>
        </w:rPr>
        <w:t xml:space="preserve"> component</w:t>
      </w:r>
      <w:r w:rsidR="002A3D9E">
        <w:rPr>
          <w:rStyle w:val="Emphasis"/>
        </w:rPr>
        <w:t xml:space="preserve">. </w:t>
      </w:r>
      <w:r w:rsidR="008F3193">
        <w:rPr>
          <w:rStyle w:val="Emphasis"/>
        </w:rPr>
        <w:t>I</w:t>
      </w:r>
      <w:r w:rsidR="002A3D9E">
        <w:rPr>
          <w:rStyle w:val="Emphasis"/>
        </w:rPr>
        <w:t xml:space="preserve">t </w:t>
      </w:r>
      <w:r w:rsidR="004A0E03">
        <w:rPr>
          <w:rStyle w:val="Emphasis"/>
        </w:rPr>
        <w:t>has been</w:t>
      </w:r>
      <w:r w:rsidR="002A3D9E">
        <w:rPr>
          <w:rStyle w:val="Emphasis"/>
        </w:rPr>
        <w:t xml:space="preserve"> revised up </w:t>
      </w:r>
      <w:r w:rsidR="00A518F0" w:rsidRPr="00A518F0">
        <w:rPr>
          <w:rStyle w:val="Emphasis"/>
        </w:rPr>
        <w:t>by 0.</w:t>
      </w:r>
      <w:r w:rsidR="004B27F2">
        <w:rPr>
          <w:rStyle w:val="Emphasis"/>
        </w:rPr>
        <w:t>2</w:t>
      </w:r>
      <w:r w:rsidR="00A518F0" w:rsidRPr="00A518F0">
        <w:rPr>
          <w:rStyle w:val="Emphasis"/>
        </w:rPr>
        <w:t xml:space="preserve"> </w:t>
      </w:r>
      <w:r w:rsidR="00DE2376">
        <w:rPr>
          <w:rStyle w:val="Emphasis"/>
        </w:rPr>
        <w:t>percentage points</w:t>
      </w:r>
      <w:r w:rsidR="00A518F0" w:rsidRPr="00A518F0">
        <w:rPr>
          <w:rStyle w:val="Emphasis"/>
        </w:rPr>
        <w:t xml:space="preserve"> </w:t>
      </w:r>
      <w:r w:rsidR="004A0E03">
        <w:rPr>
          <w:rStyle w:val="Emphasis"/>
        </w:rPr>
        <w:t>for</w:t>
      </w:r>
      <w:r w:rsidR="008F3193">
        <w:rPr>
          <w:rStyle w:val="Emphasis"/>
        </w:rPr>
        <w:t xml:space="preserve"> 2027 and by 0.1 </w:t>
      </w:r>
      <w:r w:rsidR="00DE2376">
        <w:rPr>
          <w:rStyle w:val="Emphasis"/>
        </w:rPr>
        <w:t>percentage points</w:t>
      </w:r>
      <w:r w:rsidR="008F3193">
        <w:rPr>
          <w:rStyle w:val="Emphasis"/>
        </w:rPr>
        <w:t xml:space="preserve"> </w:t>
      </w:r>
      <w:r w:rsidR="004A0E03">
        <w:rPr>
          <w:rStyle w:val="Emphasis"/>
        </w:rPr>
        <w:t>for</w:t>
      </w:r>
      <w:r w:rsidR="008F3193">
        <w:rPr>
          <w:rStyle w:val="Emphasis"/>
        </w:rPr>
        <w:t xml:space="preserve"> 2028 </w:t>
      </w:r>
      <w:r w:rsidR="002A3D9E">
        <w:rPr>
          <w:rStyle w:val="Emphasis"/>
        </w:rPr>
        <w:t xml:space="preserve">as cost pressures </w:t>
      </w:r>
      <w:r w:rsidR="006A2056">
        <w:rPr>
          <w:rStyle w:val="Emphasis"/>
        </w:rPr>
        <w:t xml:space="preserve">stemming </w:t>
      </w:r>
      <w:r w:rsidR="002A3D9E">
        <w:rPr>
          <w:rStyle w:val="Emphasis"/>
        </w:rPr>
        <w:t xml:space="preserve">from higher energy prices feed through to the </w:t>
      </w:r>
      <w:r w:rsidR="00A518F0">
        <w:rPr>
          <w:rStyle w:val="Emphasis"/>
        </w:rPr>
        <w:t>HICPX</w:t>
      </w:r>
      <w:r w:rsidR="00A518F0" w:rsidRPr="00A518F0">
        <w:rPr>
          <w:rStyle w:val="Emphasis"/>
        </w:rPr>
        <w:t xml:space="preserve"> and food</w:t>
      </w:r>
      <w:r w:rsidR="002A3D9E">
        <w:rPr>
          <w:rStyle w:val="Emphasis"/>
        </w:rPr>
        <w:t xml:space="preserve"> components</w:t>
      </w:r>
      <w:r w:rsidR="004A0E03">
        <w:rPr>
          <w:rStyle w:val="Emphasis"/>
        </w:rPr>
        <w:t>,</w:t>
      </w:r>
      <w:r w:rsidR="002A3D9E">
        <w:rPr>
          <w:rStyle w:val="Emphasis"/>
        </w:rPr>
        <w:t xml:space="preserve"> while the energy component </w:t>
      </w:r>
      <w:r w:rsidR="006A2056">
        <w:rPr>
          <w:rStyle w:val="Emphasis"/>
        </w:rPr>
        <w:t>has been</w:t>
      </w:r>
      <w:r w:rsidR="002A3D9E">
        <w:rPr>
          <w:rStyle w:val="Emphasis"/>
        </w:rPr>
        <w:t xml:space="preserve"> revised </w:t>
      </w:r>
      <w:r w:rsidR="006A2056">
        <w:rPr>
          <w:rStyle w:val="Emphasis"/>
        </w:rPr>
        <w:t xml:space="preserve">down </w:t>
      </w:r>
      <w:r w:rsidR="0002307F">
        <w:rPr>
          <w:rStyle w:val="Emphasis"/>
        </w:rPr>
        <w:t>somewhat</w:t>
      </w:r>
      <w:r w:rsidR="002A3D9E">
        <w:rPr>
          <w:rStyle w:val="Emphasis"/>
        </w:rPr>
        <w:t xml:space="preserve">. </w:t>
      </w:r>
    </w:p>
    <w:p w14:paraId="3F58593C" w14:textId="1C25A061" w:rsidR="001A0DAC" w:rsidRDefault="0010662A" w:rsidP="00AD72B9">
      <w:pPr>
        <w:rPr>
          <w:rStyle w:val="CommentReference"/>
          <w:rFonts w:eastAsia="Times New Roman" w:cs="Times New Roman"/>
          <w:kern w:val="20"/>
        </w:rPr>
      </w:pPr>
      <w:r>
        <w:rPr>
          <w:rStyle w:val="Emphasis"/>
        </w:rPr>
        <w:t>In addition to the baseline projections, staff have prepared alternative</w:t>
      </w:r>
      <w:r w:rsidR="004A0E03">
        <w:rPr>
          <w:rStyle w:val="Emphasis"/>
        </w:rPr>
        <w:t>,</w:t>
      </w:r>
      <w:r w:rsidR="009231F4">
        <w:rPr>
          <w:rStyle w:val="Emphasis"/>
        </w:rPr>
        <w:t xml:space="preserve"> hypothetical</w:t>
      </w:r>
      <w:r>
        <w:rPr>
          <w:rStyle w:val="Emphasis"/>
        </w:rPr>
        <w:t xml:space="preserve"> scenarios </w:t>
      </w:r>
      <w:r w:rsidR="0035551E" w:rsidRPr="0035551E">
        <w:rPr>
          <w:rStyle w:val="Emphasis"/>
        </w:rPr>
        <w:t xml:space="preserve">which differ </w:t>
      </w:r>
      <w:r w:rsidR="004A0E03">
        <w:rPr>
          <w:rStyle w:val="Emphasis"/>
        </w:rPr>
        <w:t>in terms of the</w:t>
      </w:r>
      <w:r w:rsidR="0035551E" w:rsidRPr="0035551E">
        <w:rPr>
          <w:rStyle w:val="Emphasis"/>
        </w:rPr>
        <w:t xml:space="preserve"> assumptions </w:t>
      </w:r>
      <w:r w:rsidR="004A0E03">
        <w:rPr>
          <w:rStyle w:val="Emphasis"/>
        </w:rPr>
        <w:t>about</w:t>
      </w:r>
      <w:r w:rsidR="0035551E" w:rsidRPr="0035551E">
        <w:rPr>
          <w:rStyle w:val="Emphasis"/>
        </w:rPr>
        <w:t xml:space="preserve"> the magnitude and persistence of the energy price shock, its impact on the international environment and uncertainty, and its propagation via </w:t>
      </w:r>
      <w:r w:rsidR="004F5B76">
        <w:rPr>
          <w:rStyle w:val="Emphasis"/>
        </w:rPr>
        <w:t xml:space="preserve">indirect and </w:t>
      </w:r>
      <w:r w:rsidR="0035551E" w:rsidRPr="0035551E">
        <w:rPr>
          <w:rStyle w:val="Emphasis"/>
        </w:rPr>
        <w:t>second-round effects</w:t>
      </w:r>
      <w:r w:rsidR="00876089">
        <w:rPr>
          <w:rStyle w:val="Emphasis"/>
        </w:rPr>
        <w:t xml:space="preserve"> on inflation</w:t>
      </w:r>
      <w:r w:rsidR="0035551E" w:rsidRPr="0035551E">
        <w:rPr>
          <w:rStyle w:val="Emphasis"/>
        </w:rPr>
        <w:t xml:space="preserve">. </w:t>
      </w:r>
      <w:r w:rsidR="00401170" w:rsidRPr="00401170">
        <w:rPr>
          <w:rStyle w:val="Emphasis"/>
        </w:rPr>
        <w:t xml:space="preserve">These scenarios offer illustrative examples of alternative paths for energy commodity prices and their </w:t>
      </w:r>
      <w:r w:rsidR="004F24C1">
        <w:rPr>
          <w:rStyle w:val="Emphasis"/>
        </w:rPr>
        <w:t>transmission</w:t>
      </w:r>
      <w:r w:rsidR="00401170" w:rsidRPr="00401170">
        <w:rPr>
          <w:rStyle w:val="Emphasis"/>
        </w:rPr>
        <w:t xml:space="preserve"> to the euro area economy.</w:t>
      </w:r>
      <w:r w:rsidR="004F24C1">
        <w:rPr>
          <w:rStyle w:val="Emphasis"/>
        </w:rPr>
        <w:t xml:space="preserve"> </w:t>
      </w:r>
      <w:r w:rsidR="00401170">
        <w:rPr>
          <w:rStyle w:val="Emphasis"/>
        </w:rPr>
        <w:t xml:space="preserve">The staff do not assign any probabilities to these scenarios – they serve rather to </w:t>
      </w:r>
      <w:r w:rsidR="008A2102">
        <w:rPr>
          <w:rStyle w:val="Emphasis"/>
        </w:rPr>
        <w:t>highlight</w:t>
      </w:r>
      <w:r w:rsidR="00401170">
        <w:rPr>
          <w:rStyle w:val="Emphasis"/>
        </w:rPr>
        <w:t xml:space="preserve"> the key uncertainties regarding the impact of the conflict. </w:t>
      </w:r>
      <w:r w:rsidR="00915059">
        <w:rPr>
          <w:rStyle w:val="Emphasis"/>
        </w:rPr>
        <w:t xml:space="preserve">As is the usual convention in the staff projections, these scenarios illustrate the impacts on the euro area economy in the absence of any monetary or fiscal policy reaction beyond what is included in the baseline. </w:t>
      </w:r>
      <w:r w:rsidR="0035551E">
        <w:rPr>
          <w:rStyle w:val="Emphasis"/>
        </w:rPr>
        <w:t>The</w:t>
      </w:r>
      <w:r w:rsidR="0035551E" w:rsidRPr="0035551E">
        <w:rPr>
          <w:rStyle w:val="Emphasis"/>
        </w:rPr>
        <w:t xml:space="preserve"> adverse scenario incorporates stronger </w:t>
      </w:r>
      <w:r w:rsidR="004F5B76">
        <w:rPr>
          <w:rStyle w:val="Emphasis"/>
        </w:rPr>
        <w:t xml:space="preserve">indirect and </w:t>
      </w:r>
      <w:r w:rsidR="0035551E" w:rsidRPr="0035551E">
        <w:rPr>
          <w:rStyle w:val="Emphasis"/>
        </w:rPr>
        <w:t>second-round effects than the baseline</w:t>
      </w:r>
      <w:r w:rsidR="008858D2" w:rsidRPr="00F93DF8">
        <w:rPr>
          <w:rStyle w:val="Emphasis"/>
        </w:rPr>
        <w:t>,</w:t>
      </w:r>
      <w:r w:rsidR="0035551E" w:rsidRPr="00F93DF8">
        <w:rPr>
          <w:rStyle w:val="Emphasis"/>
        </w:rPr>
        <w:t xml:space="preserve"> with a view to capturing possible non-linearities </w:t>
      </w:r>
      <w:r w:rsidR="004F5B76" w:rsidRPr="00F93DF8">
        <w:rPr>
          <w:rStyle w:val="Emphasis"/>
        </w:rPr>
        <w:t>in the propagation of the initial energy price shock to other prices across the economy</w:t>
      </w:r>
      <w:r w:rsidR="00E95442" w:rsidRPr="00F93DF8">
        <w:rPr>
          <w:rStyle w:val="Emphasis"/>
        </w:rPr>
        <w:t>.</w:t>
      </w:r>
      <w:r w:rsidR="004F5B76">
        <w:rPr>
          <w:rStyle w:val="Emphasis"/>
        </w:rPr>
        <w:t xml:space="preserve"> </w:t>
      </w:r>
      <w:r w:rsidR="00E95442">
        <w:rPr>
          <w:rStyle w:val="Emphasis"/>
        </w:rPr>
        <w:t>I</w:t>
      </w:r>
      <w:r w:rsidR="004F5B76">
        <w:rPr>
          <w:rStyle w:val="Emphasis"/>
        </w:rPr>
        <w:t xml:space="preserve">t </w:t>
      </w:r>
      <w:r w:rsidR="0035551E" w:rsidRPr="0035551E">
        <w:rPr>
          <w:rStyle w:val="Emphasis"/>
        </w:rPr>
        <w:t xml:space="preserve">assumes a much sharper increase in energy prices, as well as an increase in uncertainty and </w:t>
      </w:r>
      <w:r w:rsidR="008858D2">
        <w:rPr>
          <w:rStyle w:val="Emphasis"/>
        </w:rPr>
        <w:t xml:space="preserve">in </w:t>
      </w:r>
      <w:r w:rsidR="0035551E" w:rsidRPr="0035551E">
        <w:rPr>
          <w:rStyle w:val="Emphasis"/>
        </w:rPr>
        <w:t>adverse international spillovers (</w:t>
      </w:r>
      <w:r w:rsidR="00E95442">
        <w:rPr>
          <w:rStyle w:val="Emphasis"/>
        </w:rPr>
        <w:t>for example,</w:t>
      </w:r>
      <w:r w:rsidR="0035551E" w:rsidRPr="0035551E">
        <w:rPr>
          <w:rStyle w:val="Emphasis"/>
        </w:rPr>
        <w:t xml:space="preserve"> reduced foreign demand). Oil and gas prices are assumed to peak at USD 119</w:t>
      </w:r>
      <w:r w:rsidR="00A8168B">
        <w:rPr>
          <w:rStyle w:val="Emphasis"/>
        </w:rPr>
        <w:t xml:space="preserve"> per barrel</w:t>
      </w:r>
      <w:r w:rsidR="0035551E" w:rsidRPr="0035551E">
        <w:rPr>
          <w:rStyle w:val="Emphasis"/>
        </w:rPr>
        <w:t xml:space="preserve"> and </w:t>
      </w:r>
      <w:r w:rsidR="00A8168B">
        <w:rPr>
          <w:rStyle w:val="Emphasis"/>
        </w:rPr>
        <w:t>€</w:t>
      </w:r>
      <w:r w:rsidR="0035551E" w:rsidRPr="0035551E">
        <w:rPr>
          <w:rStyle w:val="Emphasis"/>
        </w:rPr>
        <w:t>87</w:t>
      </w:r>
      <w:r w:rsidR="00A8168B">
        <w:rPr>
          <w:rStyle w:val="Emphasis"/>
        </w:rPr>
        <w:t xml:space="preserve"> per </w:t>
      </w:r>
      <w:r w:rsidR="0035551E" w:rsidRPr="0035551E">
        <w:rPr>
          <w:rStyle w:val="Emphasis"/>
        </w:rPr>
        <w:t xml:space="preserve">MWh respectively in </w:t>
      </w:r>
      <w:r w:rsidR="00A8168B">
        <w:rPr>
          <w:rStyle w:val="Emphasis"/>
        </w:rPr>
        <w:t>the second quarter of</w:t>
      </w:r>
      <w:r w:rsidR="0035551E" w:rsidRPr="0035551E">
        <w:rPr>
          <w:rStyle w:val="Emphasis"/>
        </w:rPr>
        <w:t xml:space="preserve"> 2026</w:t>
      </w:r>
      <w:r w:rsidR="00806248">
        <w:rPr>
          <w:rStyle w:val="Emphasis"/>
        </w:rPr>
        <w:t>,</w:t>
      </w:r>
      <w:r w:rsidR="0035551E" w:rsidRPr="0035551E">
        <w:rPr>
          <w:rStyle w:val="Emphasis"/>
        </w:rPr>
        <w:t xml:space="preserve"> before converging to the </w:t>
      </w:r>
      <w:r w:rsidR="0035551E" w:rsidRPr="0035551E">
        <w:rPr>
          <w:rStyle w:val="Emphasis"/>
        </w:rPr>
        <w:lastRenderedPageBreak/>
        <w:t xml:space="preserve">baseline assumptions </w:t>
      </w:r>
      <w:r w:rsidR="003C7735">
        <w:rPr>
          <w:rStyle w:val="Emphasis"/>
        </w:rPr>
        <w:t>by</w:t>
      </w:r>
      <w:r w:rsidR="0035551E" w:rsidRPr="0035551E">
        <w:rPr>
          <w:rStyle w:val="Emphasis"/>
        </w:rPr>
        <w:t xml:space="preserve"> </w:t>
      </w:r>
      <w:r w:rsidR="00A8168B">
        <w:rPr>
          <w:rStyle w:val="Emphasis"/>
        </w:rPr>
        <w:t>the third quarter of</w:t>
      </w:r>
      <w:r w:rsidR="0035551E" w:rsidRPr="0035551E">
        <w:rPr>
          <w:rStyle w:val="Emphasis"/>
        </w:rPr>
        <w:t xml:space="preserve"> 2027. </w:t>
      </w:r>
      <w:r w:rsidR="00AD72B9" w:rsidRPr="0035551E">
        <w:rPr>
          <w:rStyle w:val="Emphasis"/>
        </w:rPr>
        <w:t xml:space="preserve">Relative to the baseline, the adverse scenario implies </w:t>
      </w:r>
      <w:r w:rsidR="00BE58E8">
        <w:rPr>
          <w:rStyle w:val="Emphasis"/>
        </w:rPr>
        <w:t xml:space="preserve">that </w:t>
      </w:r>
      <w:r w:rsidR="00AD72B9" w:rsidRPr="0035551E">
        <w:rPr>
          <w:rStyle w:val="Emphasis"/>
        </w:rPr>
        <w:t xml:space="preserve">inflation </w:t>
      </w:r>
      <w:r w:rsidR="00BE58E8">
        <w:rPr>
          <w:rStyle w:val="Emphasis"/>
        </w:rPr>
        <w:t>would be</w:t>
      </w:r>
      <w:r w:rsidR="00AD72B9" w:rsidRPr="0035551E">
        <w:rPr>
          <w:rStyle w:val="Emphasis"/>
        </w:rPr>
        <w:t xml:space="preserve"> 0.9</w:t>
      </w:r>
      <w:r w:rsidR="00AC0739">
        <w:rPr>
          <w:rStyle w:val="Emphasis"/>
        </w:rPr>
        <w:t xml:space="preserve"> </w:t>
      </w:r>
      <w:r w:rsidR="00A8168B">
        <w:rPr>
          <w:rStyle w:val="Emphasis"/>
        </w:rPr>
        <w:t>percentage points</w:t>
      </w:r>
      <w:r w:rsidR="00AD72B9" w:rsidRPr="0035551E">
        <w:rPr>
          <w:rStyle w:val="Emphasis"/>
        </w:rPr>
        <w:t xml:space="preserve"> and 0.1</w:t>
      </w:r>
      <w:r w:rsidR="00AC0739">
        <w:rPr>
          <w:rStyle w:val="Emphasis"/>
        </w:rPr>
        <w:t xml:space="preserve"> </w:t>
      </w:r>
      <w:r w:rsidR="00DE2376">
        <w:rPr>
          <w:rStyle w:val="Emphasis"/>
        </w:rPr>
        <w:t>percentage points</w:t>
      </w:r>
      <w:r w:rsidR="00AD72B9" w:rsidRPr="0035551E">
        <w:rPr>
          <w:rStyle w:val="Emphasis"/>
        </w:rPr>
        <w:t xml:space="preserve"> higher in 2026 and 2027 respectively, </w:t>
      </w:r>
      <w:r w:rsidR="00AD72B9">
        <w:rPr>
          <w:rStyle w:val="Emphasis"/>
        </w:rPr>
        <w:t xml:space="preserve">but </w:t>
      </w:r>
      <w:r w:rsidR="00AD72B9" w:rsidRPr="0035551E">
        <w:rPr>
          <w:rStyle w:val="Emphasis"/>
        </w:rPr>
        <w:t>0.5</w:t>
      </w:r>
      <w:r w:rsidR="00AC0739">
        <w:rPr>
          <w:rStyle w:val="Emphasis"/>
        </w:rPr>
        <w:t xml:space="preserve"> </w:t>
      </w:r>
      <w:r w:rsidR="00A8168B">
        <w:rPr>
          <w:rStyle w:val="Emphasis"/>
        </w:rPr>
        <w:t>percentage points</w:t>
      </w:r>
      <w:r w:rsidR="00AD72B9" w:rsidRPr="0035551E">
        <w:rPr>
          <w:rStyle w:val="Emphasis"/>
        </w:rPr>
        <w:t xml:space="preserve"> lower in 2028</w:t>
      </w:r>
      <w:r w:rsidR="004F5B76">
        <w:rPr>
          <w:rStyle w:val="Emphasis"/>
        </w:rPr>
        <w:t xml:space="preserve"> </w:t>
      </w:r>
      <w:r w:rsidR="008858D2">
        <w:rPr>
          <w:rStyle w:val="Emphasis"/>
        </w:rPr>
        <w:t>owing</w:t>
      </w:r>
      <w:r w:rsidR="004F5B76">
        <w:rPr>
          <w:rStyle w:val="Emphasis"/>
        </w:rPr>
        <w:t xml:space="preserve"> to </w:t>
      </w:r>
      <w:r w:rsidR="006D45FC" w:rsidRPr="006D45FC">
        <w:rPr>
          <w:rStyle w:val="Emphasis"/>
        </w:rPr>
        <w:t xml:space="preserve">the disinflationary pressures stemming from the rapid normalisation of energy prices </w:t>
      </w:r>
      <w:r w:rsidR="004F5B76">
        <w:rPr>
          <w:rStyle w:val="Emphasis"/>
        </w:rPr>
        <w:t xml:space="preserve">in </w:t>
      </w:r>
      <w:r w:rsidR="002B7427">
        <w:rPr>
          <w:rStyle w:val="Emphasis"/>
        </w:rPr>
        <w:t xml:space="preserve">that </w:t>
      </w:r>
      <w:r w:rsidR="004F5B76">
        <w:rPr>
          <w:rStyle w:val="Emphasis"/>
        </w:rPr>
        <w:t>year</w:t>
      </w:r>
      <w:r w:rsidR="00AD72B9" w:rsidRPr="0035551E">
        <w:rPr>
          <w:rStyle w:val="Emphasis"/>
        </w:rPr>
        <w:t xml:space="preserve">. </w:t>
      </w:r>
      <w:r w:rsidR="00AD72B9">
        <w:rPr>
          <w:rStyle w:val="Emphasis"/>
        </w:rPr>
        <w:t xml:space="preserve">Conversely, </w:t>
      </w:r>
      <w:r w:rsidR="00E95442">
        <w:rPr>
          <w:rStyle w:val="Emphasis"/>
        </w:rPr>
        <w:t xml:space="preserve">economic </w:t>
      </w:r>
      <w:r w:rsidR="00AD72B9">
        <w:rPr>
          <w:rStyle w:val="Emphasis"/>
        </w:rPr>
        <w:t>g</w:t>
      </w:r>
      <w:r w:rsidR="00AD72B9" w:rsidRPr="0035551E">
        <w:rPr>
          <w:rStyle w:val="Emphasis"/>
        </w:rPr>
        <w:t>rowth would be lower</w:t>
      </w:r>
      <w:r w:rsidR="004F5B76">
        <w:rPr>
          <w:rStyle w:val="Emphasis"/>
        </w:rPr>
        <w:t xml:space="preserve"> than in the baseline</w:t>
      </w:r>
      <w:r w:rsidR="00AD72B9" w:rsidRPr="0035551E">
        <w:rPr>
          <w:rStyle w:val="Emphasis"/>
        </w:rPr>
        <w:t xml:space="preserve"> in 2026 and 2027</w:t>
      </w:r>
      <w:r w:rsidR="008858D2">
        <w:rPr>
          <w:rStyle w:val="Emphasis"/>
        </w:rPr>
        <w:t>,</w:t>
      </w:r>
      <w:r w:rsidR="00AD72B9" w:rsidRPr="0035551E">
        <w:rPr>
          <w:rStyle w:val="Emphasis"/>
        </w:rPr>
        <w:t xml:space="preserve"> </w:t>
      </w:r>
      <w:r w:rsidR="00AD72B9">
        <w:rPr>
          <w:rStyle w:val="Emphasis"/>
        </w:rPr>
        <w:t xml:space="preserve">but </w:t>
      </w:r>
      <w:r w:rsidR="00AD72B9" w:rsidRPr="0035551E">
        <w:rPr>
          <w:rStyle w:val="Emphasis"/>
        </w:rPr>
        <w:t xml:space="preserve">higher in 2028. Compared </w:t>
      </w:r>
      <w:r w:rsidR="008858D2">
        <w:rPr>
          <w:rStyle w:val="Emphasis"/>
        </w:rPr>
        <w:t>with</w:t>
      </w:r>
      <w:r w:rsidR="00AD72B9" w:rsidRPr="0035551E">
        <w:rPr>
          <w:rStyle w:val="Emphasis"/>
        </w:rPr>
        <w:t xml:space="preserve"> the adverse scenario, the severe scenario assumes a stronger and more persistent energy price shock</w:t>
      </w:r>
      <w:r w:rsidR="00C54A10">
        <w:rPr>
          <w:rStyle w:val="Emphasis"/>
        </w:rPr>
        <w:t>,</w:t>
      </w:r>
      <w:r w:rsidR="00AD72B9" w:rsidRPr="0035551E">
        <w:rPr>
          <w:rStyle w:val="Emphasis"/>
        </w:rPr>
        <w:t xml:space="preserve"> greater uncertainty</w:t>
      </w:r>
      <w:r w:rsidR="00C54A10">
        <w:rPr>
          <w:rStyle w:val="Emphasis"/>
        </w:rPr>
        <w:t>,</w:t>
      </w:r>
      <w:r w:rsidR="006D45FC">
        <w:rPr>
          <w:rStyle w:val="Emphasis"/>
        </w:rPr>
        <w:t xml:space="preserve"> and even stronger indirect and second-round effects</w:t>
      </w:r>
      <w:r w:rsidR="00AD72B9" w:rsidRPr="0035551E">
        <w:rPr>
          <w:rStyle w:val="Emphasis"/>
        </w:rPr>
        <w:t>. Oil prices are assumed to peak at USD 145</w:t>
      </w:r>
      <w:r w:rsidR="00A8168B">
        <w:rPr>
          <w:rStyle w:val="Emphasis"/>
        </w:rPr>
        <w:t xml:space="preserve"> per barrel</w:t>
      </w:r>
      <w:r w:rsidR="00AD72B9" w:rsidRPr="0035551E">
        <w:rPr>
          <w:rStyle w:val="Emphasis"/>
        </w:rPr>
        <w:t xml:space="preserve"> and gas prices at </w:t>
      </w:r>
      <w:r w:rsidR="00A8168B">
        <w:rPr>
          <w:rStyle w:val="Emphasis"/>
        </w:rPr>
        <w:t>€</w:t>
      </w:r>
      <w:r w:rsidR="00AD72B9" w:rsidRPr="0035551E">
        <w:rPr>
          <w:rStyle w:val="Emphasis"/>
        </w:rPr>
        <w:t>106</w:t>
      </w:r>
      <w:r w:rsidR="00A8168B">
        <w:rPr>
          <w:rStyle w:val="Emphasis"/>
        </w:rPr>
        <w:t xml:space="preserve"> per </w:t>
      </w:r>
      <w:r w:rsidR="00AD72B9" w:rsidRPr="0035551E">
        <w:rPr>
          <w:rStyle w:val="Emphasis"/>
        </w:rPr>
        <w:t xml:space="preserve">MWh in </w:t>
      </w:r>
      <w:r w:rsidR="00A8168B">
        <w:rPr>
          <w:rStyle w:val="Emphasis"/>
        </w:rPr>
        <w:t>the second quarter of</w:t>
      </w:r>
      <w:r w:rsidR="00AD72B9" w:rsidRPr="0035551E">
        <w:rPr>
          <w:rStyle w:val="Emphasis"/>
        </w:rPr>
        <w:t xml:space="preserve"> 2026</w:t>
      </w:r>
      <w:r w:rsidR="00E95442">
        <w:rPr>
          <w:rStyle w:val="Emphasis"/>
        </w:rPr>
        <w:t>,</w:t>
      </w:r>
      <w:r w:rsidR="00AD72B9" w:rsidRPr="0035551E">
        <w:rPr>
          <w:rStyle w:val="Emphasis"/>
        </w:rPr>
        <w:t xml:space="preserve"> </w:t>
      </w:r>
      <w:r w:rsidR="0002307F">
        <w:rPr>
          <w:rStyle w:val="Emphasis"/>
        </w:rPr>
        <w:t>before declining</w:t>
      </w:r>
      <w:r w:rsidR="00AD72B9" w:rsidRPr="0035551E">
        <w:rPr>
          <w:rStyle w:val="Emphasis"/>
        </w:rPr>
        <w:t xml:space="preserve"> </w:t>
      </w:r>
      <w:r w:rsidR="00401170">
        <w:rPr>
          <w:rStyle w:val="Emphasis"/>
        </w:rPr>
        <w:t xml:space="preserve">at a much slower pace and </w:t>
      </w:r>
      <w:r w:rsidR="00AD72B9" w:rsidRPr="0035551E">
        <w:rPr>
          <w:rStyle w:val="Emphasis"/>
        </w:rPr>
        <w:t xml:space="preserve">remaining </w:t>
      </w:r>
      <w:r w:rsidR="00401170">
        <w:rPr>
          <w:rStyle w:val="Emphasis"/>
        </w:rPr>
        <w:t xml:space="preserve">significantly </w:t>
      </w:r>
      <w:r w:rsidR="00AD72B9" w:rsidRPr="0035551E">
        <w:rPr>
          <w:rStyle w:val="Emphasis"/>
        </w:rPr>
        <w:t xml:space="preserve">above </w:t>
      </w:r>
      <w:r w:rsidR="00401170">
        <w:rPr>
          <w:rStyle w:val="Emphasis"/>
        </w:rPr>
        <w:t xml:space="preserve">both </w:t>
      </w:r>
      <w:r w:rsidR="00AD72B9" w:rsidRPr="0035551E">
        <w:rPr>
          <w:rStyle w:val="Emphasis"/>
        </w:rPr>
        <w:t xml:space="preserve">the baseline </w:t>
      </w:r>
      <w:r w:rsidR="00401170">
        <w:rPr>
          <w:rStyle w:val="Emphasis"/>
        </w:rPr>
        <w:t xml:space="preserve">and adverse scenario </w:t>
      </w:r>
      <w:r w:rsidR="00AD72B9" w:rsidRPr="0035551E">
        <w:rPr>
          <w:rStyle w:val="Emphasis"/>
        </w:rPr>
        <w:t xml:space="preserve">assumptions over the rest of the projection horizon. Relative to the baseline, headline inflation would be </w:t>
      </w:r>
      <w:r w:rsidR="00AD72B9">
        <w:rPr>
          <w:rStyle w:val="Emphasis"/>
        </w:rPr>
        <w:t>significant</w:t>
      </w:r>
      <w:r w:rsidR="0002307F">
        <w:rPr>
          <w:rStyle w:val="Emphasis"/>
        </w:rPr>
        <w:t>ly</w:t>
      </w:r>
      <w:r w:rsidR="00AD72B9">
        <w:rPr>
          <w:rStyle w:val="Emphasis"/>
        </w:rPr>
        <w:t xml:space="preserve"> and persistently </w:t>
      </w:r>
      <w:r w:rsidR="00AD72B9" w:rsidRPr="0035551E">
        <w:rPr>
          <w:rStyle w:val="Emphasis"/>
        </w:rPr>
        <w:t xml:space="preserve">higher </w:t>
      </w:r>
      <w:r w:rsidR="006A5228">
        <w:rPr>
          <w:rStyle w:val="Emphasis"/>
        </w:rPr>
        <w:t>over</w:t>
      </w:r>
      <w:r w:rsidR="00AD72B9">
        <w:rPr>
          <w:rStyle w:val="Emphasis"/>
        </w:rPr>
        <w:t xml:space="preserve"> the </w:t>
      </w:r>
      <w:r w:rsidR="0002307F">
        <w:rPr>
          <w:rStyle w:val="Emphasis"/>
        </w:rPr>
        <w:t xml:space="preserve">projection </w:t>
      </w:r>
      <w:r w:rsidR="00AD72B9">
        <w:rPr>
          <w:rStyle w:val="Emphasis"/>
        </w:rPr>
        <w:t>horizon (</w:t>
      </w:r>
      <w:r w:rsidR="007A7EC2">
        <w:rPr>
          <w:rStyle w:val="Emphasis"/>
        </w:rPr>
        <w:t xml:space="preserve">by </w:t>
      </w:r>
      <w:r w:rsidR="00AD72B9" w:rsidRPr="0035551E">
        <w:rPr>
          <w:rStyle w:val="Emphasis"/>
        </w:rPr>
        <w:t>1.8</w:t>
      </w:r>
      <w:r w:rsidR="00AC0739">
        <w:rPr>
          <w:rStyle w:val="Emphasis"/>
        </w:rPr>
        <w:t xml:space="preserve"> </w:t>
      </w:r>
      <w:r w:rsidR="00A8168B">
        <w:rPr>
          <w:rStyle w:val="Emphasis"/>
        </w:rPr>
        <w:t>percentage points</w:t>
      </w:r>
      <w:r w:rsidR="00AD72B9" w:rsidRPr="0035551E">
        <w:rPr>
          <w:rStyle w:val="Emphasis"/>
        </w:rPr>
        <w:t xml:space="preserve"> in 2026, 2.8</w:t>
      </w:r>
      <w:r w:rsidR="00AC0739">
        <w:rPr>
          <w:rStyle w:val="Emphasis"/>
        </w:rPr>
        <w:t xml:space="preserve"> </w:t>
      </w:r>
      <w:r w:rsidR="00A8168B">
        <w:rPr>
          <w:rStyle w:val="Emphasis"/>
        </w:rPr>
        <w:t>percentage points</w:t>
      </w:r>
      <w:r w:rsidR="00AD72B9" w:rsidRPr="0035551E">
        <w:rPr>
          <w:rStyle w:val="Emphasis"/>
        </w:rPr>
        <w:t xml:space="preserve"> in 2027 and 0.</w:t>
      </w:r>
      <w:r w:rsidR="00AD72B9">
        <w:rPr>
          <w:rStyle w:val="Emphasis"/>
        </w:rPr>
        <w:t>7</w:t>
      </w:r>
      <w:r w:rsidR="00AC0739">
        <w:rPr>
          <w:rStyle w:val="Emphasis"/>
        </w:rPr>
        <w:t xml:space="preserve"> </w:t>
      </w:r>
      <w:r w:rsidR="00A8168B">
        <w:rPr>
          <w:rStyle w:val="Emphasis"/>
        </w:rPr>
        <w:t>percentage points</w:t>
      </w:r>
      <w:r w:rsidR="00AD72B9" w:rsidRPr="0035551E">
        <w:rPr>
          <w:rStyle w:val="Emphasis"/>
        </w:rPr>
        <w:t xml:space="preserve"> in 2028</w:t>
      </w:r>
      <w:r w:rsidR="00AD72B9">
        <w:rPr>
          <w:rStyle w:val="Emphasis"/>
        </w:rPr>
        <w:t>)</w:t>
      </w:r>
      <w:r w:rsidR="001A0DAC">
        <w:rPr>
          <w:rStyle w:val="Emphasis"/>
        </w:rPr>
        <w:t xml:space="preserve">. </w:t>
      </w:r>
      <w:r w:rsidR="00401170">
        <w:rPr>
          <w:rStyle w:val="Emphasis"/>
        </w:rPr>
        <w:t xml:space="preserve">The significant difference </w:t>
      </w:r>
      <w:r w:rsidR="00B92F54">
        <w:rPr>
          <w:rStyle w:val="Emphasis"/>
        </w:rPr>
        <w:t>in</w:t>
      </w:r>
      <w:r w:rsidR="00401170">
        <w:rPr>
          <w:rStyle w:val="Emphasis"/>
        </w:rPr>
        <w:t xml:space="preserve"> inflation in 2028 </w:t>
      </w:r>
      <w:r w:rsidR="00B92F54">
        <w:rPr>
          <w:rStyle w:val="Emphasis"/>
        </w:rPr>
        <w:t>between</w:t>
      </w:r>
      <w:r w:rsidR="00401170">
        <w:rPr>
          <w:rStyle w:val="Emphasis"/>
        </w:rPr>
        <w:t xml:space="preserve"> the adverse scenario (1.6%) and the severe scenario (2.8%)</w:t>
      </w:r>
      <w:r w:rsidR="004F24C1">
        <w:rPr>
          <w:rStyle w:val="Emphasis"/>
        </w:rPr>
        <w:t xml:space="preserve">, as shown in </w:t>
      </w:r>
      <w:r w:rsidR="004F24C1">
        <w:rPr>
          <w:rStyle w:val="Emphasis"/>
        </w:rPr>
        <w:fldChar w:fldCharType="begin"/>
      </w:r>
      <w:r w:rsidR="004F24C1">
        <w:rPr>
          <w:rStyle w:val="Emphasis"/>
        </w:rPr>
        <w:instrText xml:space="preserve"> REF _Ref224811833 \h </w:instrText>
      </w:r>
      <w:r w:rsidR="004F24C1">
        <w:rPr>
          <w:rStyle w:val="Emphasis"/>
        </w:rPr>
      </w:r>
      <w:r w:rsidR="004F24C1">
        <w:rPr>
          <w:rStyle w:val="Emphasis"/>
        </w:rPr>
        <w:fldChar w:fldCharType="separate"/>
      </w:r>
      <w:r w:rsidR="004D705B" w:rsidRPr="004D42D6">
        <w:rPr>
          <w:rStyle w:val="IntenseEmphasis"/>
        </w:rPr>
        <w:t xml:space="preserve">Table </w:t>
      </w:r>
      <w:r w:rsidR="004D705B">
        <w:rPr>
          <w:rStyle w:val="IntenseEmphasis"/>
          <w:noProof/>
        </w:rPr>
        <w:t>1</w:t>
      </w:r>
      <w:r w:rsidR="004F24C1">
        <w:rPr>
          <w:rStyle w:val="Emphasis"/>
        </w:rPr>
        <w:fldChar w:fldCharType="end"/>
      </w:r>
      <w:r w:rsidR="004F24C1">
        <w:rPr>
          <w:rStyle w:val="Emphasis"/>
        </w:rPr>
        <w:t>,</w:t>
      </w:r>
      <w:r w:rsidR="00401170">
        <w:rPr>
          <w:rStyle w:val="Emphasis"/>
        </w:rPr>
        <w:t xml:space="preserve"> highlight</w:t>
      </w:r>
      <w:r w:rsidR="00B92F54">
        <w:rPr>
          <w:rStyle w:val="Emphasis"/>
        </w:rPr>
        <w:t>s</w:t>
      </w:r>
      <w:r w:rsidR="00401170">
        <w:rPr>
          <w:rStyle w:val="Emphasis"/>
        </w:rPr>
        <w:t xml:space="preserve"> the key role of the </w:t>
      </w:r>
      <w:r w:rsidR="00625CD0">
        <w:rPr>
          <w:rStyle w:val="Emphasis"/>
        </w:rPr>
        <w:t>evolution of</w:t>
      </w:r>
      <w:r w:rsidR="00401170">
        <w:rPr>
          <w:rStyle w:val="Emphasis"/>
        </w:rPr>
        <w:t xml:space="preserve"> the conflict</w:t>
      </w:r>
      <w:r w:rsidR="00625CD0">
        <w:rPr>
          <w:rStyle w:val="Emphasis"/>
        </w:rPr>
        <w:t xml:space="preserve">, the </w:t>
      </w:r>
      <w:r w:rsidR="00401170">
        <w:rPr>
          <w:rStyle w:val="Emphasis"/>
        </w:rPr>
        <w:t>disruptions to energy supply</w:t>
      </w:r>
      <w:r w:rsidR="00625CD0">
        <w:rPr>
          <w:rStyle w:val="Emphasis"/>
        </w:rPr>
        <w:t xml:space="preserve"> and the size of the propagation mechanisms triggered by the shock</w:t>
      </w:r>
      <w:r w:rsidR="00401170">
        <w:rPr>
          <w:rStyle w:val="Emphasis"/>
        </w:rPr>
        <w:t xml:space="preserve"> in determining the impact on inflation over the medium term. </w:t>
      </w:r>
      <w:r w:rsidR="004F5B76">
        <w:rPr>
          <w:rStyle w:val="Emphasis"/>
        </w:rPr>
        <w:t xml:space="preserve">Economic </w:t>
      </w:r>
      <w:r w:rsidR="00AD72B9" w:rsidRPr="0035551E">
        <w:rPr>
          <w:rStyle w:val="Emphasis"/>
        </w:rPr>
        <w:t>growth would be 0.</w:t>
      </w:r>
      <w:r w:rsidR="00AD72B9">
        <w:rPr>
          <w:rStyle w:val="Emphasis"/>
        </w:rPr>
        <w:t xml:space="preserve">4-0.5 </w:t>
      </w:r>
      <w:r w:rsidR="00A8168B">
        <w:rPr>
          <w:rStyle w:val="Emphasis"/>
        </w:rPr>
        <w:t>percentage points</w:t>
      </w:r>
      <w:r w:rsidR="001A0DAC">
        <w:rPr>
          <w:rStyle w:val="Emphasis"/>
        </w:rPr>
        <w:t xml:space="preserve"> lower</w:t>
      </w:r>
      <w:r w:rsidR="00AD72B9">
        <w:rPr>
          <w:rStyle w:val="Emphasis"/>
        </w:rPr>
        <w:t xml:space="preserve"> </w:t>
      </w:r>
      <w:r w:rsidR="00AD72B9" w:rsidRPr="0035551E">
        <w:rPr>
          <w:rStyle w:val="Emphasis"/>
        </w:rPr>
        <w:t>in 2026</w:t>
      </w:r>
      <w:r w:rsidR="00AD72B9">
        <w:rPr>
          <w:rStyle w:val="Emphasis"/>
        </w:rPr>
        <w:t>-</w:t>
      </w:r>
      <w:r w:rsidR="00AD72B9" w:rsidRPr="0035551E">
        <w:rPr>
          <w:rStyle w:val="Emphasis"/>
        </w:rPr>
        <w:t>27</w:t>
      </w:r>
      <w:r w:rsidR="00AD72B9" w:rsidRPr="002E2DB5">
        <w:rPr>
          <w:rStyle w:val="Emphasis"/>
        </w:rPr>
        <w:t xml:space="preserve"> </w:t>
      </w:r>
      <w:r w:rsidR="006A5228">
        <w:rPr>
          <w:rStyle w:val="Emphasis"/>
        </w:rPr>
        <w:t>and would then</w:t>
      </w:r>
      <w:r w:rsidR="001A0DAC">
        <w:rPr>
          <w:rStyle w:val="Emphasis"/>
        </w:rPr>
        <w:t xml:space="preserve"> ris</w:t>
      </w:r>
      <w:r w:rsidR="00E95442">
        <w:rPr>
          <w:rStyle w:val="Emphasis"/>
        </w:rPr>
        <w:t>e</w:t>
      </w:r>
      <w:r w:rsidR="001A0DAC">
        <w:rPr>
          <w:rStyle w:val="Emphasis"/>
        </w:rPr>
        <w:t xml:space="preserve"> to </w:t>
      </w:r>
      <w:r w:rsidR="00AD72B9">
        <w:rPr>
          <w:rStyle w:val="Emphasis"/>
        </w:rPr>
        <w:t>0.5</w:t>
      </w:r>
      <w:r w:rsidR="00AC0739">
        <w:rPr>
          <w:rStyle w:val="Emphasis"/>
        </w:rPr>
        <w:t xml:space="preserve"> </w:t>
      </w:r>
      <w:r w:rsidR="00A8168B">
        <w:rPr>
          <w:rStyle w:val="Emphasis"/>
        </w:rPr>
        <w:t>percentage points</w:t>
      </w:r>
      <w:r w:rsidR="00AD72B9">
        <w:rPr>
          <w:rStyle w:val="Emphasis"/>
        </w:rPr>
        <w:t xml:space="preserve"> </w:t>
      </w:r>
      <w:r w:rsidR="001A0DAC">
        <w:rPr>
          <w:rStyle w:val="Emphasis"/>
        </w:rPr>
        <w:t xml:space="preserve">above the baseline </w:t>
      </w:r>
      <w:r w:rsidR="00AD72B9">
        <w:rPr>
          <w:rStyle w:val="Emphasis"/>
        </w:rPr>
        <w:t xml:space="preserve">in </w:t>
      </w:r>
      <w:r w:rsidR="00AD72B9" w:rsidRPr="0035551E">
        <w:rPr>
          <w:rStyle w:val="Emphasis"/>
        </w:rPr>
        <w:t xml:space="preserve">2028. </w:t>
      </w:r>
      <w:r w:rsidR="001A0DAC" w:rsidRPr="001A0DAC">
        <w:rPr>
          <w:i/>
          <w:iCs/>
        </w:rPr>
        <w:t xml:space="preserve">The increase in growth towards the end of the projection horizon reflects the assumed rise in income and demand resulting from </w:t>
      </w:r>
      <w:r w:rsidR="00F968E1">
        <w:rPr>
          <w:i/>
          <w:iCs/>
        </w:rPr>
        <w:t xml:space="preserve">the upward response of </w:t>
      </w:r>
      <w:r w:rsidR="001A0DAC" w:rsidRPr="001A0DAC">
        <w:rPr>
          <w:i/>
          <w:iCs/>
        </w:rPr>
        <w:t xml:space="preserve">wages </w:t>
      </w:r>
      <w:r w:rsidR="00F968E1">
        <w:rPr>
          <w:i/>
          <w:iCs/>
        </w:rPr>
        <w:t xml:space="preserve">following the rise </w:t>
      </w:r>
      <w:r w:rsidR="007A7EC2">
        <w:rPr>
          <w:i/>
          <w:iCs/>
        </w:rPr>
        <w:t>in</w:t>
      </w:r>
      <w:r w:rsidR="00F968E1">
        <w:rPr>
          <w:i/>
          <w:iCs/>
        </w:rPr>
        <w:t xml:space="preserve"> </w:t>
      </w:r>
      <w:r w:rsidR="001A0DAC" w:rsidRPr="001A0DAC">
        <w:rPr>
          <w:i/>
          <w:iCs/>
        </w:rPr>
        <w:t xml:space="preserve">inflation </w:t>
      </w:r>
      <w:r w:rsidR="00F968E1">
        <w:rPr>
          <w:i/>
          <w:iCs/>
        </w:rPr>
        <w:t>in the preceding years</w:t>
      </w:r>
      <w:r w:rsidR="001A0DAC" w:rsidRPr="001A0DAC">
        <w:rPr>
          <w:i/>
          <w:iCs/>
        </w:rPr>
        <w:t>.</w:t>
      </w:r>
      <w:r w:rsidR="001A0DAC">
        <w:rPr>
          <w:rStyle w:val="CommentReference"/>
          <w:rFonts w:eastAsia="Times New Roman" w:cs="Times New Roman"/>
          <w:kern w:val="20"/>
        </w:rPr>
        <w:t xml:space="preserve"> </w:t>
      </w:r>
    </w:p>
    <w:p w14:paraId="230BA8A7" w14:textId="335074DF" w:rsidR="00BC6F6E" w:rsidRPr="000D7B60" w:rsidDel="00237463" w:rsidRDefault="00BC6F6E" w:rsidP="00BC6F6E">
      <w:pPr>
        <w:rPr>
          <w:rStyle w:val="Emphasis"/>
          <w:rFonts w:eastAsia="Times New Roman" w:cs="Times New Roman"/>
          <w:i w:val="0"/>
          <w:iCs w:val="0"/>
          <w:kern w:val="20"/>
          <w:sz w:val="16"/>
          <w:szCs w:val="16"/>
        </w:rPr>
      </w:pPr>
      <w:r w:rsidDel="00237463">
        <w:rPr>
          <w:rStyle w:val="Emphasis"/>
        </w:rPr>
        <w:t xml:space="preserve">Finally, </w:t>
      </w:r>
      <w:r>
        <w:rPr>
          <w:rStyle w:val="Emphasis"/>
        </w:rPr>
        <w:t xml:space="preserve">a set of </w:t>
      </w:r>
      <w:r w:rsidDel="00237463">
        <w:rPr>
          <w:rStyle w:val="Emphasis"/>
        </w:rPr>
        <w:t>projections based on technical assumptions with a cut-off date of 4 March (</w:t>
      </w:r>
      <w:r w:rsidRPr="000D7F4B" w:rsidDel="00237463">
        <w:rPr>
          <w:i/>
          <w:iCs/>
        </w:rPr>
        <w:t>incorporat</w:t>
      </w:r>
      <w:r w:rsidR="00806248" w:rsidRPr="00806248">
        <w:rPr>
          <w:rStyle w:val="Emphasis"/>
        </w:rPr>
        <w:t>ing</w:t>
      </w:r>
      <w:r w:rsidRPr="000D7F4B" w:rsidDel="00237463">
        <w:rPr>
          <w:i/>
          <w:iCs/>
        </w:rPr>
        <w:t xml:space="preserve"> information from </w:t>
      </w:r>
      <w:r w:rsidDel="00237463">
        <w:rPr>
          <w:i/>
          <w:iCs/>
        </w:rPr>
        <w:t xml:space="preserve">the first </w:t>
      </w:r>
      <w:r w:rsidRPr="000D7F4B" w:rsidDel="00237463">
        <w:rPr>
          <w:i/>
          <w:iCs/>
        </w:rPr>
        <w:t xml:space="preserve">three working days after the </w:t>
      </w:r>
      <w:r w:rsidDel="00237463">
        <w:rPr>
          <w:i/>
          <w:iCs/>
        </w:rPr>
        <w:t xml:space="preserve">start of the </w:t>
      </w:r>
      <w:r w:rsidR="001C4DAC">
        <w:rPr>
          <w:i/>
          <w:iCs/>
        </w:rPr>
        <w:t>war in the Middle East</w:t>
      </w:r>
      <w:r w:rsidDel="00237463">
        <w:rPr>
          <w:rStyle w:val="Emphasis"/>
        </w:rPr>
        <w:t xml:space="preserve">) reflect a more benign outlook, </w:t>
      </w:r>
      <w:r w:rsidR="007A7EC2">
        <w:rPr>
          <w:rStyle w:val="Emphasis"/>
        </w:rPr>
        <w:t>with</w:t>
      </w:r>
      <w:r w:rsidDel="00237463">
        <w:rPr>
          <w:rStyle w:val="Emphasis"/>
        </w:rPr>
        <w:t xml:space="preserve"> oil </w:t>
      </w:r>
      <w:r w:rsidRPr="00C03795" w:rsidDel="00237463">
        <w:rPr>
          <w:rStyle w:val="Emphasis"/>
        </w:rPr>
        <w:t xml:space="preserve">and gas prices assumed to peak at USD </w:t>
      </w:r>
      <w:r w:rsidDel="00237463">
        <w:rPr>
          <w:rStyle w:val="Emphasis"/>
        </w:rPr>
        <w:t>79</w:t>
      </w:r>
      <w:r w:rsidR="009F6D48">
        <w:rPr>
          <w:rStyle w:val="Emphasis"/>
        </w:rPr>
        <w:t xml:space="preserve"> per barrel</w:t>
      </w:r>
      <w:r w:rsidRPr="00C03795" w:rsidDel="00237463">
        <w:rPr>
          <w:rStyle w:val="Emphasis"/>
        </w:rPr>
        <w:t xml:space="preserve"> and </w:t>
      </w:r>
      <w:r w:rsidR="007A7EC2">
        <w:rPr>
          <w:rStyle w:val="Emphasis"/>
        </w:rPr>
        <w:t>€</w:t>
      </w:r>
      <w:r w:rsidDel="00237463">
        <w:rPr>
          <w:rStyle w:val="Emphasis"/>
        </w:rPr>
        <w:t>48</w:t>
      </w:r>
      <w:r w:rsidR="007A7EC2">
        <w:rPr>
          <w:rStyle w:val="Emphasis"/>
        </w:rPr>
        <w:t xml:space="preserve"> per </w:t>
      </w:r>
      <w:r w:rsidRPr="00C03795" w:rsidDel="00237463">
        <w:rPr>
          <w:rStyle w:val="Emphasis"/>
        </w:rPr>
        <w:t>MWh</w:t>
      </w:r>
      <w:r w:rsidR="007A7EC2">
        <w:rPr>
          <w:rStyle w:val="Emphasis"/>
        </w:rPr>
        <w:t xml:space="preserve"> respectively</w:t>
      </w:r>
      <w:r w:rsidDel="00237463">
        <w:rPr>
          <w:rStyle w:val="Emphasis"/>
        </w:rPr>
        <w:t xml:space="preserve"> in </w:t>
      </w:r>
      <w:r w:rsidR="007A7EC2">
        <w:rPr>
          <w:rStyle w:val="Emphasis"/>
        </w:rPr>
        <w:t>the second quarter of</w:t>
      </w:r>
      <w:r w:rsidDel="00237463">
        <w:rPr>
          <w:rStyle w:val="Emphasis"/>
        </w:rPr>
        <w:t xml:space="preserve"> 2026.</w:t>
      </w:r>
      <w:r>
        <w:rPr>
          <w:rStyle w:val="FootnoteReference"/>
          <w:i/>
          <w:iCs/>
        </w:rPr>
        <w:footnoteReference w:id="3"/>
      </w:r>
      <w:r w:rsidDel="00237463">
        <w:rPr>
          <w:rStyle w:val="Emphasis"/>
        </w:rPr>
        <w:t xml:space="preserve"> </w:t>
      </w:r>
      <w:r w:rsidR="007A7EC2">
        <w:rPr>
          <w:rStyle w:val="Emphasis"/>
        </w:rPr>
        <w:t>In line with</w:t>
      </w:r>
      <w:r w:rsidDel="00237463">
        <w:rPr>
          <w:rStyle w:val="Emphasis"/>
        </w:rPr>
        <w:t xml:space="preserve"> those projections, inflation w</w:t>
      </w:r>
      <w:r>
        <w:rPr>
          <w:rStyle w:val="Emphasis"/>
        </w:rPr>
        <w:t>ould be</w:t>
      </w:r>
      <w:r w:rsidDel="00237463">
        <w:rPr>
          <w:rStyle w:val="Emphasis"/>
        </w:rPr>
        <w:t xml:space="preserve"> 0.3 p</w:t>
      </w:r>
      <w:r w:rsidR="007A7EC2">
        <w:rPr>
          <w:rStyle w:val="Emphasis"/>
        </w:rPr>
        <w:t xml:space="preserve">ercentage </w:t>
      </w:r>
      <w:r w:rsidDel="00237463">
        <w:rPr>
          <w:rStyle w:val="Emphasis"/>
        </w:rPr>
        <w:t>p</w:t>
      </w:r>
      <w:r w:rsidR="007A7EC2">
        <w:rPr>
          <w:rStyle w:val="Emphasis"/>
        </w:rPr>
        <w:t>oints</w:t>
      </w:r>
      <w:r w:rsidDel="00237463">
        <w:rPr>
          <w:rStyle w:val="Emphasis"/>
        </w:rPr>
        <w:t xml:space="preserve"> below the </w:t>
      </w:r>
      <w:r>
        <w:rPr>
          <w:rStyle w:val="Emphasis"/>
        </w:rPr>
        <w:t xml:space="preserve">final </w:t>
      </w:r>
      <w:r w:rsidDel="00237463">
        <w:rPr>
          <w:rStyle w:val="Emphasis"/>
        </w:rPr>
        <w:t>baseline in 2026 and 0.1 p</w:t>
      </w:r>
      <w:r w:rsidR="007A7EC2">
        <w:rPr>
          <w:rStyle w:val="Emphasis"/>
        </w:rPr>
        <w:t xml:space="preserve">ercentage </w:t>
      </w:r>
      <w:r w:rsidDel="00237463">
        <w:rPr>
          <w:rStyle w:val="Emphasis"/>
        </w:rPr>
        <w:t>p</w:t>
      </w:r>
      <w:r w:rsidR="007A7EC2">
        <w:rPr>
          <w:rStyle w:val="Emphasis"/>
        </w:rPr>
        <w:t>oints</w:t>
      </w:r>
      <w:r w:rsidDel="00237463">
        <w:rPr>
          <w:rStyle w:val="Emphasis"/>
        </w:rPr>
        <w:t xml:space="preserve"> below in 2027 and 2028, while growth w</w:t>
      </w:r>
      <w:r>
        <w:rPr>
          <w:rStyle w:val="Emphasis"/>
        </w:rPr>
        <w:t>ould be</w:t>
      </w:r>
      <w:r w:rsidDel="00237463">
        <w:rPr>
          <w:rStyle w:val="Emphasis"/>
        </w:rPr>
        <w:t xml:space="preserve"> 0.1 p</w:t>
      </w:r>
      <w:r w:rsidR="007A7EC2">
        <w:rPr>
          <w:rStyle w:val="Emphasis"/>
        </w:rPr>
        <w:t xml:space="preserve">ercentage </w:t>
      </w:r>
      <w:r w:rsidDel="00237463">
        <w:rPr>
          <w:rStyle w:val="Emphasis"/>
        </w:rPr>
        <w:t>p</w:t>
      </w:r>
      <w:r w:rsidR="007A7EC2">
        <w:rPr>
          <w:rStyle w:val="Emphasis"/>
        </w:rPr>
        <w:t>oints</w:t>
      </w:r>
      <w:r w:rsidDel="00237463">
        <w:rPr>
          <w:rStyle w:val="Emphasis"/>
        </w:rPr>
        <w:t xml:space="preserve"> higher in each year of the projection horizon.</w:t>
      </w:r>
    </w:p>
    <w:p w14:paraId="59560F31" w14:textId="77777777" w:rsidR="00BC6F6E" w:rsidRDefault="00BC6F6E" w:rsidP="00AD72B9">
      <w:pPr>
        <w:rPr>
          <w:rStyle w:val="Emphasis"/>
        </w:rPr>
      </w:pPr>
    </w:p>
    <w:p w14:paraId="4706E8E5" w14:textId="40485EFB" w:rsidR="00BC6F6E" w:rsidRPr="004D42D6" w:rsidRDefault="00BC6F6E" w:rsidP="00BC6F6E">
      <w:pPr>
        <w:pStyle w:val="Chartright-Heading"/>
      </w:pPr>
      <w:r w:rsidRPr="004D42D6">
        <w:rPr>
          <w:rStyle w:val="IntenseEmphasis"/>
        </w:rPr>
        <w:lastRenderedPageBreak/>
        <w:t xml:space="preserve">Table </w:t>
      </w:r>
      <w:r w:rsidRPr="004D42D6">
        <w:rPr>
          <w:rStyle w:val="IntenseEmphasis"/>
        </w:rPr>
        <w:fldChar w:fldCharType="begin"/>
      </w:r>
      <w:r w:rsidRPr="004D42D6">
        <w:rPr>
          <w:rStyle w:val="IntenseEmphasis"/>
        </w:rPr>
        <w:instrText xml:space="preserve"> SEQ Table \* ARABIC </w:instrText>
      </w:r>
      <w:r w:rsidRPr="004D42D6">
        <w:rPr>
          <w:rStyle w:val="IntenseEmphasis"/>
        </w:rPr>
        <w:fldChar w:fldCharType="separate"/>
      </w:r>
      <w:r w:rsidR="004D705B">
        <w:rPr>
          <w:rStyle w:val="IntenseEmphasis"/>
          <w:noProof/>
        </w:rPr>
        <w:t>1</w:t>
      </w:r>
      <w:r w:rsidRPr="004D42D6">
        <w:rPr>
          <w:rStyle w:val="IntenseEmphasis"/>
        </w:rPr>
        <w:fldChar w:fldCharType="end"/>
      </w:r>
      <w:r w:rsidRPr="00C04725">
        <w:br/>
      </w:r>
      <w:r w:rsidRPr="004D42D6">
        <w:t>Growth and inflation projections for the euro area</w:t>
      </w:r>
    </w:p>
    <w:p w14:paraId="6F216863" w14:textId="77777777" w:rsidR="00BC6F6E" w:rsidRDefault="00BC6F6E" w:rsidP="00BC6F6E">
      <w:pPr>
        <w:pStyle w:val="Chartright-Measure"/>
      </w:pPr>
      <w:r w:rsidRPr="00BF6914">
        <w:t>(annual percentage changes)</w:t>
      </w:r>
    </w:p>
    <w:tbl>
      <w:tblPr>
        <w:tblStyle w:val="Tablecentrealigned"/>
        <w:tblW w:w="5000" w:type="pct"/>
        <w:tblLook w:val="06A0" w:firstRow="1" w:lastRow="0" w:firstColumn="1" w:lastColumn="0" w:noHBand="1" w:noVBand="1"/>
      </w:tblPr>
      <w:tblGrid>
        <w:gridCol w:w="1125"/>
        <w:gridCol w:w="615"/>
        <w:gridCol w:w="1096"/>
        <w:gridCol w:w="1077"/>
        <w:gridCol w:w="1077"/>
        <w:gridCol w:w="1077"/>
        <w:gridCol w:w="1077"/>
      </w:tblGrid>
      <w:tr w:rsidR="00EC3905" w:rsidRPr="00EC3905" w14:paraId="4CCAA0BD" w14:textId="77777777" w:rsidTr="00EC3905">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787" w:type="pct"/>
            <w:vMerge w:val="restart"/>
            <w:noWrap/>
            <w:hideMark/>
          </w:tcPr>
          <w:p w14:paraId="6FAE9DF1" w14:textId="42C60B94" w:rsidR="00EC3905" w:rsidRPr="00EC3905" w:rsidRDefault="00EC3905" w:rsidP="00EC3905">
            <w:pPr>
              <w:pStyle w:val="Tabletext"/>
              <w:rPr>
                <w:b w:val="0"/>
              </w:rPr>
            </w:pPr>
            <w:r w:rsidRPr="00EC3905">
              <w:t> </w:t>
            </w:r>
          </w:p>
        </w:tc>
        <w:tc>
          <w:tcPr>
            <w:tcW w:w="430" w:type="pct"/>
            <w:vMerge w:val="restart"/>
            <w:noWrap/>
            <w:hideMark/>
          </w:tcPr>
          <w:p w14:paraId="18EE09AF" w14:textId="365A563F" w:rsidR="00EC3905" w:rsidRPr="00EC3905" w:rsidRDefault="00EC3905" w:rsidP="00EC3905">
            <w:pPr>
              <w:pStyle w:val="Tabletext"/>
              <w:cnfStyle w:val="100000000000" w:firstRow="1" w:lastRow="0" w:firstColumn="0" w:lastColumn="0" w:oddVBand="0" w:evenVBand="0" w:oddHBand="0" w:evenHBand="0" w:firstRowFirstColumn="0" w:firstRowLastColumn="0" w:lastRowFirstColumn="0" w:lastRowLastColumn="0"/>
              <w:rPr>
                <w:b w:val="0"/>
              </w:rPr>
            </w:pPr>
            <w:r w:rsidRPr="00EC3905">
              <w:t> </w:t>
            </w:r>
          </w:p>
        </w:tc>
        <w:tc>
          <w:tcPr>
            <w:tcW w:w="767" w:type="pct"/>
            <w:vMerge w:val="restart"/>
            <w:hideMark/>
          </w:tcPr>
          <w:p w14:paraId="7EF63E09" w14:textId="77777777" w:rsidR="00EC3905" w:rsidRPr="00EC3905" w:rsidRDefault="00EC3905" w:rsidP="00EC3905">
            <w:pPr>
              <w:pStyle w:val="Tabletext"/>
              <w:cnfStyle w:val="100000000000" w:firstRow="1" w:lastRow="0" w:firstColumn="0" w:lastColumn="0" w:oddVBand="0" w:evenVBand="0" w:oddHBand="0" w:evenHBand="0" w:firstRowFirstColumn="0" w:firstRowLastColumn="0" w:lastRowFirstColumn="0" w:lastRowLastColumn="0"/>
            </w:pPr>
            <w:r w:rsidRPr="00EC3905">
              <w:t xml:space="preserve">December 2025 baseline </w:t>
            </w:r>
          </w:p>
        </w:tc>
        <w:tc>
          <w:tcPr>
            <w:tcW w:w="3015" w:type="pct"/>
            <w:gridSpan w:val="4"/>
            <w:noWrap/>
            <w:hideMark/>
          </w:tcPr>
          <w:p w14:paraId="47B6D9B4" w14:textId="2D04D51B" w:rsidR="00EC3905" w:rsidRPr="00EC3905" w:rsidRDefault="00EC3905" w:rsidP="00EC3905">
            <w:pPr>
              <w:pStyle w:val="Tabletext"/>
              <w:cnfStyle w:val="100000000000" w:firstRow="1" w:lastRow="0" w:firstColumn="0" w:lastColumn="0" w:oddVBand="0" w:evenVBand="0" w:oddHBand="0" w:evenHBand="0" w:firstRowFirstColumn="0" w:firstRowLastColumn="0" w:lastRowFirstColumn="0" w:lastRowLastColumn="0"/>
            </w:pPr>
            <w:r w:rsidRPr="00EC3905">
              <w:t>March 2026 – baseline projections and alternative scenarios</w:t>
            </w:r>
          </w:p>
        </w:tc>
      </w:tr>
      <w:tr w:rsidR="00EC3905" w:rsidRPr="00EC3905" w14:paraId="31366988" w14:textId="77777777" w:rsidTr="00EC3905">
        <w:trPr>
          <w:cnfStyle w:val="100000000000" w:firstRow="1" w:lastRow="0" w:firstColumn="0" w:lastColumn="0" w:oddVBand="0" w:evenVBand="0" w:oddHBand="0" w:evenHBand="0" w:firstRowFirstColumn="0" w:firstRowLastColumn="0" w:lastRowFirstColumn="0" w:lastRowLastColumn="0"/>
          <w:trHeight w:val="548"/>
          <w:tblHeader/>
        </w:trPr>
        <w:tc>
          <w:tcPr>
            <w:cnfStyle w:val="001000000000" w:firstRow="0" w:lastRow="0" w:firstColumn="1" w:lastColumn="0" w:oddVBand="0" w:evenVBand="0" w:oddHBand="0" w:evenHBand="0" w:firstRowFirstColumn="0" w:firstRowLastColumn="0" w:lastRowFirstColumn="0" w:lastRowLastColumn="0"/>
            <w:tcW w:w="787" w:type="pct"/>
            <w:vMerge/>
            <w:hideMark/>
          </w:tcPr>
          <w:p w14:paraId="14853E0A" w14:textId="279B6686" w:rsidR="00EC3905" w:rsidRPr="00EC3905" w:rsidRDefault="00EC3905" w:rsidP="00EC3905">
            <w:pPr>
              <w:pStyle w:val="Tabletext"/>
            </w:pPr>
          </w:p>
        </w:tc>
        <w:tc>
          <w:tcPr>
            <w:tcW w:w="430" w:type="pct"/>
            <w:vMerge/>
            <w:hideMark/>
          </w:tcPr>
          <w:p w14:paraId="56A9D521" w14:textId="07276181" w:rsidR="00EC3905" w:rsidRPr="00EC3905" w:rsidRDefault="00EC3905" w:rsidP="00EC3905">
            <w:pPr>
              <w:pStyle w:val="Tabletext"/>
              <w:cnfStyle w:val="100000000000" w:firstRow="1" w:lastRow="0" w:firstColumn="0" w:lastColumn="0" w:oddVBand="0" w:evenVBand="0" w:oddHBand="0" w:evenHBand="0" w:firstRowFirstColumn="0" w:firstRowLastColumn="0" w:lastRowFirstColumn="0" w:lastRowLastColumn="0"/>
            </w:pPr>
          </w:p>
        </w:tc>
        <w:tc>
          <w:tcPr>
            <w:tcW w:w="767" w:type="pct"/>
            <w:vMerge/>
            <w:hideMark/>
          </w:tcPr>
          <w:p w14:paraId="4C62487A" w14:textId="77777777" w:rsidR="00EC3905" w:rsidRPr="00EC3905" w:rsidRDefault="00EC3905" w:rsidP="00EC3905">
            <w:pPr>
              <w:pStyle w:val="Tabletext"/>
              <w:cnfStyle w:val="100000000000" w:firstRow="1" w:lastRow="0" w:firstColumn="0" w:lastColumn="0" w:oddVBand="0" w:evenVBand="0" w:oddHBand="0" w:evenHBand="0" w:firstRowFirstColumn="0" w:firstRowLastColumn="0" w:lastRowFirstColumn="0" w:lastRowLastColumn="0"/>
            </w:pPr>
          </w:p>
        </w:tc>
        <w:tc>
          <w:tcPr>
            <w:tcW w:w="754" w:type="pct"/>
            <w:hideMark/>
          </w:tcPr>
          <w:p w14:paraId="718342F7" w14:textId="77777777" w:rsidR="00EC3905" w:rsidRPr="00EC3905" w:rsidRDefault="00EC3905" w:rsidP="00EC3905">
            <w:pPr>
              <w:pStyle w:val="Tabletext"/>
              <w:cnfStyle w:val="100000000000" w:firstRow="1" w:lastRow="0" w:firstColumn="0" w:lastColumn="0" w:oddVBand="0" w:evenVBand="0" w:oddHBand="0" w:evenHBand="0" w:firstRowFirstColumn="0" w:firstRowLastColumn="0" w:lastRowFirstColumn="0" w:lastRowLastColumn="0"/>
            </w:pPr>
            <w:r w:rsidRPr="00EC3905">
              <w:t>Baseline</w:t>
            </w:r>
          </w:p>
        </w:tc>
        <w:tc>
          <w:tcPr>
            <w:tcW w:w="754" w:type="pct"/>
            <w:hideMark/>
          </w:tcPr>
          <w:p w14:paraId="53ACE4FB" w14:textId="77777777" w:rsidR="00EC3905" w:rsidRPr="00EC3905" w:rsidRDefault="00EC3905" w:rsidP="00EC3905">
            <w:pPr>
              <w:pStyle w:val="Tabletext"/>
              <w:cnfStyle w:val="100000000000" w:firstRow="1" w:lastRow="0" w:firstColumn="0" w:lastColumn="0" w:oddVBand="0" w:evenVBand="0" w:oddHBand="0" w:evenHBand="0" w:firstRowFirstColumn="0" w:firstRowLastColumn="0" w:lastRowFirstColumn="0" w:lastRowLastColumn="0"/>
            </w:pPr>
            <w:r w:rsidRPr="00EC3905">
              <w:t>Adverse scenario</w:t>
            </w:r>
          </w:p>
        </w:tc>
        <w:tc>
          <w:tcPr>
            <w:tcW w:w="754" w:type="pct"/>
            <w:hideMark/>
          </w:tcPr>
          <w:p w14:paraId="2AD956B7" w14:textId="77777777" w:rsidR="00EC3905" w:rsidRPr="00EC3905" w:rsidRDefault="00EC3905" w:rsidP="00EC3905">
            <w:pPr>
              <w:pStyle w:val="Tabletext"/>
              <w:cnfStyle w:val="100000000000" w:firstRow="1" w:lastRow="0" w:firstColumn="0" w:lastColumn="0" w:oddVBand="0" w:evenVBand="0" w:oddHBand="0" w:evenHBand="0" w:firstRowFirstColumn="0" w:firstRowLastColumn="0" w:lastRowFirstColumn="0" w:lastRowLastColumn="0"/>
            </w:pPr>
            <w:r w:rsidRPr="00EC3905">
              <w:t>Severe scenario</w:t>
            </w:r>
          </w:p>
        </w:tc>
        <w:tc>
          <w:tcPr>
            <w:tcW w:w="754" w:type="pct"/>
            <w:hideMark/>
          </w:tcPr>
          <w:p w14:paraId="6EE062AD" w14:textId="59C40CF2" w:rsidR="00EC3905" w:rsidRPr="00EC3905" w:rsidRDefault="00EC3905" w:rsidP="00EC3905">
            <w:pPr>
              <w:pStyle w:val="Tabletext"/>
              <w:cnfStyle w:val="100000000000" w:firstRow="1" w:lastRow="0" w:firstColumn="0" w:lastColumn="0" w:oddVBand="0" w:evenVBand="0" w:oddHBand="0" w:evenHBand="0" w:firstRowFirstColumn="0" w:firstRowLastColumn="0" w:lastRowFirstColumn="0" w:lastRowLastColumn="0"/>
            </w:pPr>
            <w:r w:rsidRPr="00EC3905">
              <w:t xml:space="preserve">Projections with cut-off date of </w:t>
            </w:r>
            <w:r>
              <w:br/>
            </w:r>
            <w:r w:rsidRPr="00EC3905">
              <w:t>4 March</w:t>
            </w:r>
          </w:p>
        </w:tc>
      </w:tr>
      <w:tr w:rsidR="00EC3905" w:rsidRPr="00EC3905" w14:paraId="35E3AC2E"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val="restart"/>
            <w:tcBorders>
              <w:top w:val="single" w:sz="4" w:space="0" w:color="003299"/>
            </w:tcBorders>
            <w:hideMark/>
          </w:tcPr>
          <w:p w14:paraId="0F7B426D" w14:textId="77777777" w:rsidR="00BC6F6E" w:rsidRPr="00EC3905" w:rsidRDefault="00BC6F6E" w:rsidP="00EC3905">
            <w:pPr>
              <w:pStyle w:val="Tabletext"/>
            </w:pPr>
            <w:r w:rsidRPr="00EC3905">
              <w:t>Real GDP</w:t>
            </w:r>
          </w:p>
        </w:tc>
        <w:tc>
          <w:tcPr>
            <w:tcW w:w="430" w:type="pct"/>
            <w:tcBorders>
              <w:top w:val="single" w:sz="4" w:space="0" w:color="003299"/>
              <w:right w:val="single" w:sz="4" w:space="0" w:color="003299"/>
            </w:tcBorders>
            <w:hideMark/>
          </w:tcPr>
          <w:p w14:paraId="06B01609"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2025</w:t>
            </w:r>
          </w:p>
        </w:tc>
        <w:tc>
          <w:tcPr>
            <w:tcW w:w="767" w:type="pct"/>
            <w:tcBorders>
              <w:top w:val="single" w:sz="4" w:space="0" w:color="003299"/>
              <w:left w:val="single" w:sz="4" w:space="0" w:color="003299"/>
              <w:right w:val="single" w:sz="4" w:space="0" w:color="003299"/>
            </w:tcBorders>
            <w:hideMark/>
          </w:tcPr>
          <w:p w14:paraId="2C4A00DB"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1.4</w:t>
            </w:r>
          </w:p>
        </w:tc>
        <w:tc>
          <w:tcPr>
            <w:tcW w:w="754" w:type="pct"/>
            <w:tcBorders>
              <w:top w:val="single" w:sz="4" w:space="0" w:color="003299"/>
              <w:left w:val="single" w:sz="4" w:space="0" w:color="003299"/>
              <w:right w:val="single" w:sz="4" w:space="0" w:color="003299"/>
            </w:tcBorders>
            <w:hideMark/>
          </w:tcPr>
          <w:p w14:paraId="2E0FA422"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1.5</w:t>
            </w:r>
          </w:p>
        </w:tc>
        <w:tc>
          <w:tcPr>
            <w:tcW w:w="754" w:type="pct"/>
            <w:tcBorders>
              <w:top w:val="single" w:sz="4" w:space="0" w:color="003299"/>
              <w:left w:val="single" w:sz="4" w:space="0" w:color="003299"/>
            </w:tcBorders>
            <w:hideMark/>
          </w:tcPr>
          <w:p w14:paraId="29186646"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1.5</w:t>
            </w:r>
          </w:p>
        </w:tc>
        <w:tc>
          <w:tcPr>
            <w:tcW w:w="754" w:type="pct"/>
            <w:tcBorders>
              <w:top w:val="single" w:sz="4" w:space="0" w:color="003299"/>
            </w:tcBorders>
            <w:hideMark/>
          </w:tcPr>
          <w:p w14:paraId="28184E91"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1.5</w:t>
            </w:r>
          </w:p>
        </w:tc>
        <w:tc>
          <w:tcPr>
            <w:tcW w:w="754" w:type="pct"/>
            <w:tcBorders>
              <w:top w:val="single" w:sz="4" w:space="0" w:color="003299"/>
            </w:tcBorders>
            <w:hideMark/>
          </w:tcPr>
          <w:p w14:paraId="478AE0ED"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1.5</w:t>
            </w:r>
          </w:p>
        </w:tc>
      </w:tr>
      <w:tr w:rsidR="00EC3905" w:rsidRPr="00EC3905" w14:paraId="04F71149"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hideMark/>
          </w:tcPr>
          <w:p w14:paraId="7A513082" w14:textId="77777777" w:rsidR="00BC6F6E" w:rsidRPr="00EC3905" w:rsidRDefault="00BC6F6E" w:rsidP="00EC3905">
            <w:pPr>
              <w:pStyle w:val="Tabletext"/>
            </w:pPr>
          </w:p>
        </w:tc>
        <w:tc>
          <w:tcPr>
            <w:tcW w:w="430" w:type="pct"/>
            <w:tcBorders>
              <w:right w:val="single" w:sz="4" w:space="0" w:color="003299"/>
            </w:tcBorders>
            <w:hideMark/>
          </w:tcPr>
          <w:p w14:paraId="17BED63A"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2026</w:t>
            </w:r>
          </w:p>
        </w:tc>
        <w:tc>
          <w:tcPr>
            <w:tcW w:w="767" w:type="pct"/>
            <w:tcBorders>
              <w:left w:val="single" w:sz="4" w:space="0" w:color="003299"/>
              <w:right w:val="single" w:sz="4" w:space="0" w:color="003299"/>
            </w:tcBorders>
            <w:hideMark/>
          </w:tcPr>
          <w:p w14:paraId="0F2D313C"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1.2</w:t>
            </w:r>
          </w:p>
        </w:tc>
        <w:tc>
          <w:tcPr>
            <w:tcW w:w="754" w:type="pct"/>
            <w:tcBorders>
              <w:left w:val="single" w:sz="4" w:space="0" w:color="003299"/>
              <w:right w:val="single" w:sz="4" w:space="0" w:color="003299"/>
            </w:tcBorders>
            <w:hideMark/>
          </w:tcPr>
          <w:p w14:paraId="53C68D2F"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0.9</w:t>
            </w:r>
          </w:p>
        </w:tc>
        <w:tc>
          <w:tcPr>
            <w:tcW w:w="754" w:type="pct"/>
            <w:tcBorders>
              <w:left w:val="single" w:sz="4" w:space="0" w:color="003299"/>
            </w:tcBorders>
            <w:hideMark/>
          </w:tcPr>
          <w:p w14:paraId="03231B5F"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0.6</w:t>
            </w:r>
          </w:p>
        </w:tc>
        <w:tc>
          <w:tcPr>
            <w:tcW w:w="754" w:type="pct"/>
            <w:hideMark/>
          </w:tcPr>
          <w:p w14:paraId="74DDB013"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0.4</w:t>
            </w:r>
          </w:p>
        </w:tc>
        <w:tc>
          <w:tcPr>
            <w:tcW w:w="754" w:type="pct"/>
            <w:hideMark/>
          </w:tcPr>
          <w:p w14:paraId="77B8BB51"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1.0</w:t>
            </w:r>
          </w:p>
        </w:tc>
      </w:tr>
      <w:tr w:rsidR="00EC3905" w:rsidRPr="00EC3905" w14:paraId="1946AF9D"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hideMark/>
          </w:tcPr>
          <w:p w14:paraId="155EBE91" w14:textId="77777777" w:rsidR="00BC6F6E" w:rsidRPr="00EC3905" w:rsidRDefault="00BC6F6E" w:rsidP="00EC3905">
            <w:pPr>
              <w:pStyle w:val="Tabletext"/>
            </w:pPr>
          </w:p>
        </w:tc>
        <w:tc>
          <w:tcPr>
            <w:tcW w:w="430" w:type="pct"/>
            <w:tcBorders>
              <w:right w:val="single" w:sz="4" w:space="0" w:color="003299"/>
            </w:tcBorders>
            <w:hideMark/>
          </w:tcPr>
          <w:p w14:paraId="6EC1781F"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2027</w:t>
            </w:r>
          </w:p>
        </w:tc>
        <w:tc>
          <w:tcPr>
            <w:tcW w:w="767" w:type="pct"/>
            <w:tcBorders>
              <w:left w:val="single" w:sz="4" w:space="0" w:color="003299"/>
              <w:right w:val="single" w:sz="4" w:space="0" w:color="003299"/>
            </w:tcBorders>
            <w:hideMark/>
          </w:tcPr>
          <w:p w14:paraId="0F2A26FD"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1.4</w:t>
            </w:r>
          </w:p>
        </w:tc>
        <w:tc>
          <w:tcPr>
            <w:tcW w:w="754" w:type="pct"/>
            <w:tcBorders>
              <w:left w:val="single" w:sz="4" w:space="0" w:color="003299"/>
              <w:right w:val="single" w:sz="4" w:space="0" w:color="003299"/>
            </w:tcBorders>
            <w:hideMark/>
          </w:tcPr>
          <w:p w14:paraId="5F2676C6"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1.3</w:t>
            </w:r>
          </w:p>
        </w:tc>
        <w:tc>
          <w:tcPr>
            <w:tcW w:w="754" w:type="pct"/>
            <w:tcBorders>
              <w:left w:val="single" w:sz="4" w:space="0" w:color="003299"/>
            </w:tcBorders>
            <w:hideMark/>
          </w:tcPr>
          <w:p w14:paraId="61A772FA"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1.2</w:t>
            </w:r>
          </w:p>
        </w:tc>
        <w:tc>
          <w:tcPr>
            <w:tcW w:w="754" w:type="pct"/>
            <w:hideMark/>
          </w:tcPr>
          <w:p w14:paraId="6FF2D3FC"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0.9</w:t>
            </w:r>
          </w:p>
        </w:tc>
        <w:tc>
          <w:tcPr>
            <w:tcW w:w="754" w:type="pct"/>
            <w:hideMark/>
          </w:tcPr>
          <w:p w14:paraId="51BB4B5A"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1.4</w:t>
            </w:r>
          </w:p>
        </w:tc>
      </w:tr>
      <w:tr w:rsidR="00EC3905" w:rsidRPr="00EC3905" w14:paraId="70137CE1"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tcBorders>
              <w:bottom w:val="single" w:sz="4" w:space="0" w:color="003299"/>
            </w:tcBorders>
            <w:hideMark/>
          </w:tcPr>
          <w:p w14:paraId="47CBCD70" w14:textId="77777777" w:rsidR="00BC6F6E" w:rsidRPr="00EC3905" w:rsidRDefault="00BC6F6E" w:rsidP="00EC3905">
            <w:pPr>
              <w:pStyle w:val="Tabletext"/>
            </w:pPr>
          </w:p>
        </w:tc>
        <w:tc>
          <w:tcPr>
            <w:tcW w:w="430" w:type="pct"/>
            <w:tcBorders>
              <w:bottom w:val="single" w:sz="4" w:space="0" w:color="003299"/>
              <w:right w:val="single" w:sz="4" w:space="0" w:color="003299"/>
            </w:tcBorders>
            <w:hideMark/>
          </w:tcPr>
          <w:p w14:paraId="70950C63"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2028</w:t>
            </w:r>
          </w:p>
        </w:tc>
        <w:tc>
          <w:tcPr>
            <w:tcW w:w="767" w:type="pct"/>
            <w:tcBorders>
              <w:left w:val="single" w:sz="4" w:space="0" w:color="003299"/>
              <w:bottom w:val="single" w:sz="4" w:space="0" w:color="003299"/>
              <w:right w:val="single" w:sz="4" w:space="0" w:color="003299"/>
            </w:tcBorders>
            <w:hideMark/>
          </w:tcPr>
          <w:p w14:paraId="210935D7"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1.4</w:t>
            </w:r>
          </w:p>
        </w:tc>
        <w:tc>
          <w:tcPr>
            <w:tcW w:w="754" w:type="pct"/>
            <w:tcBorders>
              <w:left w:val="single" w:sz="4" w:space="0" w:color="003299"/>
              <w:bottom w:val="single" w:sz="4" w:space="0" w:color="003299"/>
              <w:right w:val="single" w:sz="4" w:space="0" w:color="003299"/>
            </w:tcBorders>
            <w:hideMark/>
          </w:tcPr>
          <w:p w14:paraId="796346F4"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1.4</w:t>
            </w:r>
          </w:p>
        </w:tc>
        <w:tc>
          <w:tcPr>
            <w:tcW w:w="754" w:type="pct"/>
            <w:tcBorders>
              <w:left w:val="single" w:sz="4" w:space="0" w:color="003299"/>
              <w:bottom w:val="single" w:sz="4" w:space="0" w:color="003299"/>
            </w:tcBorders>
            <w:hideMark/>
          </w:tcPr>
          <w:p w14:paraId="70A5F447"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1.6</w:t>
            </w:r>
          </w:p>
        </w:tc>
        <w:tc>
          <w:tcPr>
            <w:tcW w:w="754" w:type="pct"/>
            <w:tcBorders>
              <w:bottom w:val="single" w:sz="4" w:space="0" w:color="003299"/>
            </w:tcBorders>
            <w:hideMark/>
          </w:tcPr>
          <w:p w14:paraId="29992887"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1.9</w:t>
            </w:r>
          </w:p>
        </w:tc>
        <w:tc>
          <w:tcPr>
            <w:tcW w:w="754" w:type="pct"/>
            <w:tcBorders>
              <w:bottom w:val="single" w:sz="4" w:space="0" w:color="003299"/>
            </w:tcBorders>
            <w:hideMark/>
          </w:tcPr>
          <w:p w14:paraId="73B489B3"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1.5</w:t>
            </w:r>
          </w:p>
        </w:tc>
      </w:tr>
      <w:tr w:rsidR="00EC3905" w:rsidRPr="00EC3905" w14:paraId="5912BF52"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val="restart"/>
            <w:tcBorders>
              <w:top w:val="single" w:sz="4" w:space="0" w:color="003299"/>
            </w:tcBorders>
            <w:hideMark/>
          </w:tcPr>
          <w:p w14:paraId="36AAB076" w14:textId="77777777" w:rsidR="00BC6F6E" w:rsidRPr="00EC3905" w:rsidRDefault="00BC6F6E" w:rsidP="00EC3905">
            <w:pPr>
              <w:pStyle w:val="Tabletext"/>
            </w:pPr>
            <w:r w:rsidRPr="00EC3905">
              <w:t>HICP</w:t>
            </w:r>
          </w:p>
        </w:tc>
        <w:tc>
          <w:tcPr>
            <w:tcW w:w="430" w:type="pct"/>
            <w:tcBorders>
              <w:top w:val="single" w:sz="4" w:space="0" w:color="003299"/>
              <w:right w:val="single" w:sz="4" w:space="0" w:color="003299"/>
            </w:tcBorders>
            <w:hideMark/>
          </w:tcPr>
          <w:p w14:paraId="4D4067EC"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2025</w:t>
            </w:r>
          </w:p>
        </w:tc>
        <w:tc>
          <w:tcPr>
            <w:tcW w:w="767" w:type="pct"/>
            <w:tcBorders>
              <w:top w:val="single" w:sz="4" w:space="0" w:color="003299"/>
              <w:left w:val="single" w:sz="4" w:space="0" w:color="003299"/>
              <w:right w:val="single" w:sz="4" w:space="0" w:color="003299"/>
            </w:tcBorders>
            <w:hideMark/>
          </w:tcPr>
          <w:p w14:paraId="3ADFA665"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c>
          <w:tcPr>
            <w:tcW w:w="754" w:type="pct"/>
            <w:tcBorders>
              <w:top w:val="single" w:sz="4" w:space="0" w:color="003299"/>
              <w:left w:val="single" w:sz="4" w:space="0" w:color="003299"/>
              <w:right w:val="single" w:sz="4" w:space="0" w:color="003299"/>
            </w:tcBorders>
            <w:hideMark/>
          </w:tcPr>
          <w:p w14:paraId="30FF4C7B"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c>
          <w:tcPr>
            <w:tcW w:w="754" w:type="pct"/>
            <w:tcBorders>
              <w:top w:val="single" w:sz="4" w:space="0" w:color="003299"/>
              <w:left w:val="single" w:sz="4" w:space="0" w:color="003299"/>
            </w:tcBorders>
            <w:hideMark/>
          </w:tcPr>
          <w:p w14:paraId="4D25D1B7"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c>
          <w:tcPr>
            <w:tcW w:w="754" w:type="pct"/>
            <w:tcBorders>
              <w:top w:val="single" w:sz="4" w:space="0" w:color="003299"/>
            </w:tcBorders>
            <w:hideMark/>
          </w:tcPr>
          <w:p w14:paraId="3EEB3AD0"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c>
          <w:tcPr>
            <w:tcW w:w="754" w:type="pct"/>
            <w:tcBorders>
              <w:top w:val="single" w:sz="4" w:space="0" w:color="003299"/>
            </w:tcBorders>
            <w:hideMark/>
          </w:tcPr>
          <w:p w14:paraId="613C1587"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r>
      <w:tr w:rsidR="00EC3905" w:rsidRPr="00EC3905" w14:paraId="62FA87FD"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hideMark/>
          </w:tcPr>
          <w:p w14:paraId="3F42A07B" w14:textId="77777777" w:rsidR="00BC6F6E" w:rsidRPr="00EC3905" w:rsidRDefault="00BC6F6E" w:rsidP="00EC3905">
            <w:pPr>
              <w:pStyle w:val="Tabletext"/>
            </w:pPr>
          </w:p>
        </w:tc>
        <w:tc>
          <w:tcPr>
            <w:tcW w:w="430" w:type="pct"/>
            <w:tcBorders>
              <w:right w:val="single" w:sz="4" w:space="0" w:color="003299"/>
            </w:tcBorders>
            <w:hideMark/>
          </w:tcPr>
          <w:p w14:paraId="7A13538A"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2026</w:t>
            </w:r>
          </w:p>
        </w:tc>
        <w:tc>
          <w:tcPr>
            <w:tcW w:w="767" w:type="pct"/>
            <w:tcBorders>
              <w:left w:val="single" w:sz="4" w:space="0" w:color="003299"/>
              <w:right w:val="single" w:sz="4" w:space="0" w:color="003299"/>
            </w:tcBorders>
            <w:hideMark/>
          </w:tcPr>
          <w:p w14:paraId="5278D290"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1.9</w:t>
            </w:r>
          </w:p>
        </w:tc>
        <w:tc>
          <w:tcPr>
            <w:tcW w:w="754" w:type="pct"/>
            <w:tcBorders>
              <w:left w:val="single" w:sz="4" w:space="0" w:color="003299"/>
              <w:right w:val="single" w:sz="4" w:space="0" w:color="003299"/>
            </w:tcBorders>
            <w:hideMark/>
          </w:tcPr>
          <w:p w14:paraId="0032BADA"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2.6</w:t>
            </w:r>
          </w:p>
        </w:tc>
        <w:tc>
          <w:tcPr>
            <w:tcW w:w="754" w:type="pct"/>
            <w:tcBorders>
              <w:left w:val="single" w:sz="4" w:space="0" w:color="003299"/>
            </w:tcBorders>
            <w:hideMark/>
          </w:tcPr>
          <w:p w14:paraId="3536FD2F"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3.5</w:t>
            </w:r>
          </w:p>
        </w:tc>
        <w:tc>
          <w:tcPr>
            <w:tcW w:w="754" w:type="pct"/>
            <w:hideMark/>
          </w:tcPr>
          <w:p w14:paraId="199BD290"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4.4</w:t>
            </w:r>
          </w:p>
        </w:tc>
        <w:tc>
          <w:tcPr>
            <w:tcW w:w="754" w:type="pct"/>
            <w:hideMark/>
          </w:tcPr>
          <w:p w14:paraId="09E9A20D"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2.3</w:t>
            </w:r>
          </w:p>
        </w:tc>
      </w:tr>
      <w:tr w:rsidR="00EC3905" w:rsidRPr="00EC3905" w14:paraId="2E3BA758"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hideMark/>
          </w:tcPr>
          <w:p w14:paraId="403FE8C0" w14:textId="77777777" w:rsidR="00BC6F6E" w:rsidRPr="00EC3905" w:rsidRDefault="00BC6F6E" w:rsidP="00EC3905">
            <w:pPr>
              <w:pStyle w:val="Tabletext"/>
            </w:pPr>
          </w:p>
        </w:tc>
        <w:tc>
          <w:tcPr>
            <w:tcW w:w="430" w:type="pct"/>
            <w:tcBorders>
              <w:right w:val="single" w:sz="4" w:space="0" w:color="003299"/>
            </w:tcBorders>
            <w:hideMark/>
          </w:tcPr>
          <w:p w14:paraId="6ED0E08B"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2027</w:t>
            </w:r>
          </w:p>
        </w:tc>
        <w:tc>
          <w:tcPr>
            <w:tcW w:w="767" w:type="pct"/>
            <w:tcBorders>
              <w:left w:val="single" w:sz="4" w:space="0" w:color="003299"/>
              <w:right w:val="single" w:sz="4" w:space="0" w:color="003299"/>
            </w:tcBorders>
            <w:hideMark/>
          </w:tcPr>
          <w:p w14:paraId="5E4329AF"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1.8</w:t>
            </w:r>
          </w:p>
        </w:tc>
        <w:tc>
          <w:tcPr>
            <w:tcW w:w="754" w:type="pct"/>
            <w:tcBorders>
              <w:left w:val="single" w:sz="4" w:space="0" w:color="003299"/>
              <w:right w:val="single" w:sz="4" w:space="0" w:color="003299"/>
            </w:tcBorders>
            <w:hideMark/>
          </w:tcPr>
          <w:p w14:paraId="51A2FBB6"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w:t>
            </w:r>
          </w:p>
        </w:tc>
        <w:tc>
          <w:tcPr>
            <w:tcW w:w="754" w:type="pct"/>
            <w:tcBorders>
              <w:left w:val="single" w:sz="4" w:space="0" w:color="003299"/>
            </w:tcBorders>
            <w:hideMark/>
          </w:tcPr>
          <w:p w14:paraId="749F467D"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c>
          <w:tcPr>
            <w:tcW w:w="754" w:type="pct"/>
            <w:hideMark/>
          </w:tcPr>
          <w:p w14:paraId="1D600D4B"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4.8</w:t>
            </w:r>
          </w:p>
        </w:tc>
        <w:tc>
          <w:tcPr>
            <w:tcW w:w="754" w:type="pct"/>
            <w:hideMark/>
          </w:tcPr>
          <w:p w14:paraId="08EAAEAC"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1.9</w:t>
            </w:r>
          </w:p>
        </w:tc>
      </w:tr>
      <w:tr w:rsidR="00EC3905" w:rsidRPr="00EC3905" w14:paraId="511D2D46"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tcBorders>
              <w:bottom w:val="single" w:sz="4" w:space="0" w:color="003299"/>
            </w:tcBorders>
            <w:hideMark/>
          </w:tcPr>
          <w:p w14:paraId="418FB0E9" w14:textId="77777777" w:rsidR="00BC6F6E" w:rsidRPr="00EC3905" w:rsidRDefault="00BC6F6E" w:rsidP="00EC3905">
            <w:pPr>
              <w:pStyle w:val="Tabletext"/>
            </w:pPr>
          </w:p>
        </w:tc>
        <w:tc>
          <w:tcPr>
            <w:tcW w:w="430" w:type="pct"/>
            <w:tcBorders>
              <w:bottom w:val="single" w:sz="4" w:space="0" w:color="003299"/>
              <w:right w:val="single" w:sz="4" w:space="0" w:color="003299"/>
            </w:tcBorders>
            <w:hideMark/>
          </w:tcPr>
          <w:p w14:paraId="4082C199"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2028</w:t>
            </w:r>
          </w:p>
        </w:tc>
        <w:tc>
          <w:tcPr>
            <w:tcW w:w="767" w:type="pct"/>
            <w:tcBorders>
              <w:left w:val="single" w:sz="4" w:space="0" w:color="003299"/>
              <w:bottom w:val="single" w:sz="4" w:space="0" w:color="003299"/>
              <w:right w:val="single" w:sz="4" w:space="0" w:color="003299"/>
            </w:tcBorders>
            <w:hideMark/>
          </w:tcPr>
          <w:p w14:paraId="7349D415"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w:t>
            </w:r>
          </w:p>
        </w:tc>
        <w:tc>
          <w:tcPr>
            <w:tcW w:w="754" w:type="pct"/>
            <w:tcBorders>
              <w:left w:val="single" w:sz="4" w:space="0" w:color="003299"/>
              <w:bottom w:val="single" w:sz="4" w:space="0" w:color="003299"/>
              <w:right w:val="single" w:sz="4" w:space="0" w:color="003299"/>
            </w:tcBorders>
            <w:hideMark/>
          </w:tcPr>
          <w:p w14:paraId="725A3119"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c>
          <w:tcPr>
            <w:tcW w:w="754" w:type="pct"/>
            <w:tcBorders>
              <w:left w:val="single" w:sz="4" w:space="0" w:color="003299"/>
              <w:bottom w:val="single" w:sz="4" w:space="0" w:color="003299"/>
            </w:tcBorders>
            <w:hideMark/>
          </w:tcPr>
          <w:p w14:paraId="091A7583"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1.6</w:t>
            </w:r>
          </w:p>
        </w:tc>
        <w:tc>
          <w:tcPr>
            <w:tcW w:w="754" w:type="pct"/>
            <w:tcBorders>
              <w:bottom w:val="single" w:sz="4" w:space="0" w:color="003299"/>
            </w:tcBorders>
            <w:hideMark/>
          </w:tcPr>
          <w:p w14:paraId="571AC595"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2.8</w:t>
            </w:r>
          </w:p>
        </w:tc>
        <w:tc>
          <w:tcPr>
            <w:tcW w:w="754" w:type="pct"/>
            <w:tcBorders>
              <w:bottom w:val="single" w:sz="4" w:space="0" w:color="003299"/>
            </w:tcBorders>
            <w:hideMark/>
          </w:tcPr>
          <w:p w14:paraId="391AB84D"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w:t>
            </w:r>
          </w:p>
        </w:tc>
      </w:tr>
      <w:tr w:rsidR="00EC3905" w:rsidRPr="00EC3905" w14:paraId="20CEBD76"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val="restart"/>
            <w:tcBorders>
              <w:top w:val="single" w:sz="4" w:space="0" w:color="003299"/>
            </w:tcBorders>
            <w:hideMark/>
          </w:tcPr>
          <w:p w14:paraId="675EC552" w14:textId="77777777" w:rsidR="00BC6F6E" w:rsidRPr="00EC3905" w:rsidRDefault="00BC6F6E" w:rsidP="00EC3905">
            <w:pPr>
              <w:pStyle w:val="Tabletext"/>
            </w:pPr>
            <w:r w:rsidRPr="00EC3905">
              <w:t>HICP excluding energy and food</w:t>
            </w:r>
          </w:p>
        </w:tc>
        <w:tc>
          <w:tcPr>
            <w:tcW w:w="430" w:type="pct"/>
            <w:tcBorders>
              <w:top w:val="single" w:sz="4" w:space="0" w:color="003299"/>
              <w:right w:val="single" w:sz="4" w:space="0" w:color="003299"/>
            </w:tcBorders>
            <w:hideMark/>
          </w:tcPr>
          <w:p w14:paraId="39C4D466"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2025</w:t>
            </w:r>
          </w:p>
        </w:tc>
        <w:tc>
          <w:tcPr>
            <w:tcW w:w="767" w:type="pct"/>
            <w:tcBorders>
              <w:top w:val="single" w:sz="4" w:space="0" w:color="003299"/>
              <w:left w:val="single" w:sz="4" w:space="0" w:color="003299"/>
              <w:right w:val="single" w:sz="4" w:space="0" w:color="003299"/>
            </w:tcBorders>
            <w:hideMark/>
          </w:tcPr>
          <w:p w14:paraId="4F151F53"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2.4</w:t>
            </w:r>
          </w:p>
        </w:tc>
        <w:tc>
          <w:tcPr>
            <w:tcW w:w="754" w:type="pct"/>
            <w:tcBorders>
              <w:top w:val="single" w:sz="4" w:space="0" w:color="003299"/>
              <w:left w:val="single" w:sz="4" w:space="0" w:color="003299"/>
              <w:right w:val="single" w:sz="4" w:space="0" w:color="003299"/>
            </w:tcBorders>
            <w:hideMark/>
          </w:tcPr>
          <w:p w14:paraId="785F9DEC"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2.4</w:t>
            </w:r>
          </w:p>
        </w:tc>
        <w:tc>
          <w:tcPr>
            <w:tcW w:w="754" w:type="pct"/>
            <w:tcBorders>
              <w:top w:val="single" w:sz="4" w:space="0" w:color="003299"/>
              <w:left w:val="single" w:sz="4" w:space="0" w:color="003299"/>
            </w:tcBorders>
            <w:hideMark/>
          </w:tcPr>
          <w:p w14:paraId="073A60B9"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2.4</w:t>
            </w:r>
          </w:p>
        </w:tc>
        <w:tc>
          <w:tcPr>
            <w:tcW w:w="754" w:type="pct"/>
            <w:tcBorders>
              <w:top w:val="single" w:sz="4" w:space="0" w:color="003299"/>
            </w:tcBorders>
            <w:hideMark/>
          </w:tcPr>
          <w:p w14:paraId="659D4197"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2.4</w:t>
            </w:r>
          </w:p>
        </w:tc>
        <w:tc>
          <w:tcPr>
            <w:tcW w:w="754" w:type="pct"/>
            <w:tcBorders>
              <w:top w:val="single" w:sz="4" w:space="0" w:color="003299"/>
            </w:tcBorders>
            <w:hideMark/>
          </w:tcPr>
          <w:p w14:paraId="5CEA3A63"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2.4</w:t>
            </w:r>
          </w:p>
        </w:tc>
      </w:tr>
      <w:tr w:rsidR="00EC3905" w:rsidRPr="00EC3905" w14:paraId="512A66B4"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hideMark/>
          </w:tcPr>
          <w:p w14:paraId="36471502" w14:textId="77777777" w:rsidR="00BC6F6E" w:rsidRPr="00EC3905" w:rsidRDefault="00BC6F6E" w:rsidP="00EC3905">
            <w:pPr>
              <w:pStyle w:val="Tabletext"/>
            </w:pPr>
          </w:p>
        </w:tc>
        <w:tc>
          <w:tcPr>
            <w:tcW w:w="430" w:type="pct"/>
            <w:tcBorders>
              <w:right w:val="single" w:sz="4" w:space="0" w:color="003299"/>
            </w:tcBorders>
            <w:hideMark/>
          </w:tcPr>
          <w:p w14:paraId="5FFDCFF5"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2026</w:t>
            </w:r>
          </w:p>
        </w:tc>
        <w:tc>
          <w:tcPr>
            <w:tcW w:w="767" w:type="pct"/>
            <w:tcBorders>
              <w:left w:val="single" w:sz="4" w:space="0" w:color="003299"/>
              <w:right w:val="single" w:sz="4" w:space="0" w:color="003299"/>
            </w:tcBorders>
            <w:hideMark/>
          </w:tcPr>
          <w:p w14:paraId="271FC8DD"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2.2</w:t>
            </w:r>
          </w:p>
        </w:tc>
        <w:tc>
          <w:tcPr>
            <w:tcW w:w="754" w:type="pct"/>
            <w:tcBorders>
              <w:left w:val="single" w:sz="4" w:space="0" w:color="003299"/>
              <w:right w:val="single" w:sz="4" w:space="0" w:color="003299"/>
            </w:tcBorders>
            <w:hideMark/>
          </w:tcPr>
          <w:p w14:paraId="09699E7B"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2.3</w:t>
            </w:r>
          </w:p>
        </w:tc>
        <w:tc>
          <w:tcPr>
            <w:tcW w:w="754" w:type="pct"/>
            <w:tcBorders>
              <w:left w:val="single" w:sz="4" w:space="0" w:color="003299"/>
            </w:tcBorders>
            <w:hideMark/>
          </w:tcPr>
          <w:p w14:paraId="33F18025"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2.4</w:t>
            </w:r>
          </w:p>
        </w:tc>
        <w:tc>
          <w:tcPr>
            <w:tcW w:w="754" w:type="pct"/>
            <w:hideMark/>
          </w:tcPr>
          <w:p w14:paraId="52CDCC67"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2.6</w:t>
            </w:r>
          </w:p>
        </w:tc>
        <w:tc>
          <w:tcPr>
            <w:tcW w:w="754" w:type="pct"/>
            <w:hideMark/>
          </w:tcPr>
          <w:p w14:paraId="3C2777C4"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2.2</w:t>
            </w:r>
          </w:p>
        </w:tc>
      </w:tr>
      <w:tr w:rsidR="00EC3905" w:rsidRPr="00EC3905" w14:paraId="7975106C"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hideMark/>
          </w:tcPr>
          <w:p w14:paraId="62B2F2B0" w14:textId="77777777" w:rsidR="00BC6F6E" w:rsidRPr="00EC3905" w:rsidRDefault="00BC6F6E" w:rsidP="00EC3905">
            <w:pPr>
              <w:pStyle w:val="Tabletext"/>
            </w:pPr>
          </w:p>
        </w:tc>
        <w:tc>
          <w:tcPr>
            <w:tcW w:w="430" w:type="pct"/>
            <w:tcBorders>
              <w:right w:val="single" w:sz="4" w:space="0" w:color="003299"/>
            </w:tcBorders>
            <w:hideMark/>
          </w:tcPr>
          <w:p w14:paraId="061527FA"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2027</w:t>
            </w:r>
          </w:p>
        </w:tc>
        <w:tc>
          <w:tcPr>
            <w:tcW w:w="767" w:type="pct"/>
            <w:tcBorders>
              <w:left w:val="single" w:sz="4" w:space="0" w:color="003299"/>
              <w:right w:val="single" w:sz="4" w:space="0" w:color="003299"/>
            </w:tcBorders>
            <w:hideMark/>
          </w:tcPr>
          <w:p w14:paraId="74AB53B8"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1.9</w:t>
            </w:r>
          </w:p>
        </w:tc>
        <w:tc>
          <w:tcPr>
            <w:tcW w:w="754" w:type="pct"/>
            <w:tcBorders>
              <w:left w:val="single" w:sz="4" w:space="0" w:color="003299"/>
              <w:right w:val="single" w:sz="4" w:space="0" w:color="003299"/>
            </w:tcBorders>
            <w:hideMark/>
          </w:tcPr>
          <w:p w14:paraId="6BB7B8FF"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2.2</w:t>
            </w:r>
          </w:p>
        </w:tc>
        <w:tc>
          <w:tcPr>
            <w:tcW w:w="754" w:type="pct"/>
            <w:tcBorders>
              <w:left w:val="single" w:sz="4" w:space="0" w:color="003299"/>
            </w:tcBorders>
            <w:hideMark/>
          </w:tcPr>
          <w:p w14:paraId="0240F1EC"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2.7</w:t>
            </w:r>
          </w:p>
        </w:tc>
        <w:tc>
          <w:tcPr>
            <w:tcW w:w="754" w:type="pct"/>
            <w:hideMark/>
          </w:tcPr>
          <w:p w14:paraId="108D91C6"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3.9</w:t>
            </w:r>
          </w:p>
        </w:tc>
        <w:tc>
          <w:tcPr>
            <w:tcW w:w="754" w:type="pct"/>
            <w:hideMark/>
          </w:tcPr>
          <w:p w14:paraId="221E24C3"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w:t>
            </w:r>
          </w:p>
        </w:tc>
      </w:tr>
      <w:tr w:rsidR="00EC3905" w:rsidRPr="00EC3905" w14:paraId="59AB3C4D" w14:textId="77777777" w:rsidTr="00EC3905">
        <w:trPr>
          <w:trHeight w:val="330"/>
        </w:trPr>
        <w:tc>
          <w:tcPr>
            <w:cnfStyle w:val="001000000000" w:firstRow="0" w:lastRow="0" w:firstColumn="1" w:lastColumn="0" w:oddVBand="0" w:evenVBand="0" w:oddHBand="0" w:evenHBand="0" w:firstRowFirstColumn="0" w:firstRowLastColumn="0" w:lastRowFirstColumn="0" w:lastRowLastColumn="0"/>
            <w:tcW w:w="787" w:type="pct"/>
            <w:vMerge/>
            <w:hideMark/>
          </w:tcPr>
          <w:p w14:paraId="1B03F94C" w14:textId="77777777" w:rsidR="00BC6F6E" w:rsidRPr="00EC3905" w:rsidRDefault="00BC6F6E" w:rsidP="00EC3905">
            <w:pPr>
              <w:pStyle w:val="Tabletext"/>
            </w:pPr>
          </w:p>
        </w:tc>
        <w:tc>
          <w:tcPr>
            <w:tcW w:w="430" w:type="pct"/>
            <w:tcBorders>
              <w:right w:val="single" w:sz="4" w:space="0" w:color="003299"/>
            </w:tcBorders>
            <w:hideMark/>
          </w:tcPr>
          <w:p w14:paraId="027F880B"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2028</w:t>
            </w:r>
          </w:p>
        </w:tc>
        <w:tc>
          <w:tcPr>
            <w:tcW w:w="767" w:type="pct"/>
            <w:tcBorders>
              <w:left w:val="single" w:sz="4" w:space="0" w:color="003299"/>
              <w:right w:val="single" w:sz="4" w:space="0" w:color="003299"/>
            </w:tcBorders>
            <w:hideMark/>
          </w:tcPr>
          <w:p w14:paraId="7192C0A5"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2.0</w:t>
            </w:r>
          </w:p>
        </w:tc>
        <w:tc>
          <w:tcPr>
            <w:tcW w:w="754" w:type="pct"/>
            <w:tcBorders>
              <w:left w:val="single" w:sz="4" w:space="0" w:color="003299"/>
              <w:right w:val="single" w:sz="4" w:space="0" w:color="003299"/>
            </w:tcBorders>
            <w:hideMark/>
          </w:tcPr>
          <w:p w14:paraId="25F5720E"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c>
          <w:tcPr>
            <w:tcW w:w="754" w:type="pct"/>
            <w:tcBorders>
              <w:left w:val="single" w:sz="4" w:space="0" w:color="003299"/>
            </w:tcBorders>
            <w:hideMark/>
          </w:tcPr>
          <w:p w14:paraId="54255415"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c>
          <w:tcPr>
            <w:tcW w:w="754" w:type="pct"/>
            <w:hideMark/>
          </w:tcPr>
          <w:p w14:paraId="37179108"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2.9</w:t>
            </w:r>
          </w:p>
        </w:tc>
        <w:tc>
          <w:tcPr>
            <w:tcW w:w="754" w:type="pct"/>
            <w:hideMark/>
          </w:tcPr>
          <w:p w14:paraId="1E23ACDC" w14:textId="77777777" w:rsidR="00BC6F6E" w:rsidRPr="00EC3905" w:rsidRDefault="00BC6F6E" w:rsidP="00EC3905">
            <w:pPr>
              <w:pStyle w:val="Tabletext"/>
              <w:cnfStyle w:val="000000000000" w:firstRow="0" w:lastRow="0" w:firstColumn="0" w:lastColumn="0" w:oddVBand="0" w:evenVBand="0" w:oddHBand="0" w:evenHBand="0" w:firstRowFirstColumn="0" w:firstRowLastColumn="0" w:lastRowFirstColumn="0" w:lastRowLastColumn="0"/>
            </w:pPr>
            <w:r w:rsidRPr="00EC3905">
              <w:t>2.1</w:t>
            </w:r>
          </w:p>
        </w:tc>
      </w:tr>
    </w:tbl>
    <w:p w14:paraId="2F4C7D5E" w14:textId="7CE1035C" w:rsidR="00E24F39" w:rsidRDefault="00BC6F6E" w:rsidP="001C4DAC">
      <w:pPr>
        <w:pStyle w:val="Chartright-SourcesNotes"/>
      </w:pPr>
      <w:r w:rsidRPr="004D42D6">
        <w:t>Notes: Real GDP figures refer to annual averages of seasonally and working day-adjusted data. Historical data may differ from the latest Eurostat publications owing to data releases after the cut-off date for the projections.</w:t>
      </w:r>
      <w:r w:rsidR="001C4DAC">
        <w:t xml:space="preserve"> </w:t>
      </w:r>
      <w:r w:rsidR="001C4DAC" w:rsidRPr="004D42D6">
        <w:t xml:space="preserve">Data </w:t>
      </w:r>
      <w:r w:rsidR="001C4DAC">
        <w:t xml:space="preserve">for the baseline projections are </w:t>
      </w:r>
      <w:r w:rsidR="001C4DAC" w:rsidRPr="004D42D6">
        <w:t xml:space="preserve">available for downloading, also at quarterly frequency, from the </w:t>
      </w:r>
      <w:hyperlink r:id="rId20" w:history="1">
        <w:r w:rsidR="001C4DAC" w:rsidRPr="004D42D6">
          <w:rPr>
            <w:rStyle w:val="Hyperlink"/>
          </w:rPr>
          <w:t>Macroeconomic Projection Database on the ECB’s website</w:t>
        </w:r>
      </w:hyperlink>
      <w:r w:rsidR="001C4DAC" w:rsidRPr="004D42D6">
        <w:t>.</w:t>
      </w:r>
    </w:p>
    <w:p w14:paraId="3A9660EF" w14:textId="77777777" w:rsidR="00E24F39" w:rsidRPr="00E14986" w:rsidRDefault="00E24F39" w:rsidP="00093A6C">
      <w:pPr>
        <w:pStyle w:val="Heading1"/>
      </w:pPr>
      <w:bookmarkStart w:id="1" w:name="_Toc224823008"/>
      <w:r>
        <w:lastRenderedPageBreak/>
        <w:t>Macroeconomic projections for the euro area economy – baseline assessment</w:t>
      </w:r>
      <w:bookmarkEnd w:id="1"/>
    </w:p>
    <w:p w14:paraId="36117DC7" w14:textId="77777777" w:rsidR="00E24F39" w:rsidRPr="00100602" w:rsidRDefault="00E24F39" w:rsidP="00100602">
      <w:pPr>
        <w:pStyle w:val="Heading2"/>
      </w:pPr>
      <w:bookmarkStart w:id="2" w:name="_Toc224823009"/>
      <w:r w:rsidRPr="00100602">
        <w:t>Real economy</w:t>
      </w:r>
      <w:bookmarkEnd w:id="2"/>
    </w:p>
    <w:p w14:paraId="581303AC" w14:textId="37CA83B2" w:rsidR="00E24F39" w:rsidRPr="009E6596" w:rsidRDefault="00E24F39" w:rsidP="00E14986">
      <w:r w:rsidRPr="00E14986">
        <w:rPr>
          <w:rStyle w:val="IntenseEmphasis"/>
        </w:rPr>
        <w:t>E</w:t>
      </w:r>
      <w:r w:rsidRPr="00652B67">
        <w:rPr>
          <w:rStyle w:val="IntenseEmphasis"/>
        </w:rPr>
        <w:t>uro area economic activity rose by 0.</w:t>
      </w:r>
      <w:r>
        <w:rPr>
          <w:rStyle w:val="IntenseEmphasis"/>
        </w:rPr>
        <w:t>2</w:t>
      </w:r>
      <w:r w:rsidRPr="00652B67">
        <w:rPr>
          <w:rStyle w:val="IntenseEmphasis"/>
        </w:rPr>
        <w:t xml:space="preserve">% in </w:t>
      </w:r>
      <w:r>
        <w:rPr>
          <w:rStyle w:val="IntenseEmphasis"/>
        </w:rPr>
        <w:t>the fourth quarter of</w:t>
      </w:r>
      <w:r w:rsidRPr="00652B67">
        <w:rPr>
          <w:rStyle w:val="IntenseEmphasis"/>
        </w:rPr>
        <w:t xml:space="preserve"> 2025</w:t>
      </w:r>
      <w:r>
        <w:rPr>
          <w:rStyle w:val="IntenseEmphasis"/>
        </w:rPr>
        <w:t xml:space="preserve">, in line with the December </w:t>
      </w:r>
      <w:r w:rsidRPr="00652B67">
        <w:rPr>
          <w:rStyle w:val="IntenseEmphasis"/>
        </w:rPr>
        <w:t>projections</w:t>
      </w:r>
      <w:r>
        <w:rPr>
          <w:rStyle w:val="IntenseEmphasis"/>
        </w:rPr>
        <w:t xml:space="preserve"> (</w:t>
      </w:r>
      <w:r>
        <w:rPr>
          <w:rStyle w:val="IntenseEmphasis"/>
        </w:rPr>
        <w:fldChar w:fldCharType="begin"/>
      </w:r>
      <w:r>
        <w:rPr>
          <w:rStyle w:val="IntenseEmphasis"/>
        </w:rPr>
        <w:instrText xml:space="preserve"> REF _Ref176262312 \h </w:instrText>
      </w:r>
      <w:r>
        <w:rPr>
          <w:rStyle w:val="IntenseEmphasis"/>
        </w:rPr>
      </w:r>
      <w:r>
        <w:rPr>
          <w:rStyle w:val="IntenseEmphasis"/>
        </w:rPr>
        <w:fldChar w:fldCharType="separate"/>
      </w:r>
      <w:r w:rsidR="004D705B" w:rsidRPr="00C565B1">
        <w:rPr>
          <w:rStyle w:val="IntenseEmphasis"/>
        </w:rPr>
        <w:t xml:space="preserve">Chart </w:t>
      </w:r>
      <w:r w:rsidR="004D705B">
        <w:rPr>
          <w:rStyle w:val="IntenseEmphasis"/>
          <w:noProof/>
        </w:rPr>
        <w:t>1</w:t>
      </w:r>
      <w:r>
        <w:rPr>
          <w:rStyle w:val="IntenseEmphasis"/>
        </w:rPr>
        <w:fldChar w:fldCharType="end"/>
      </w:r>
      <w:r>
        <w:rPr>
          <w:rStyle w:val="IntenseEmphasis"/>
        </w:rPr>
        <w:t>)</w:t>
      </w:r>
      <w:r w:rsidRPr="00652B67">
        <w:rPr>
          <w:rStyle w:val="IntenseEmphasis"/>
        </w:rPr>
        <w:t>.</w:t>
      </w:r>
      <w:r w:rsidRPr="00C565B1">
        <w:t xml:space="preserve"> </w:t>
      </w:r>
      <w:r>
        <w:t>All large euro area economies posted positive growth in the fourth quarter of 2025. However, a strong contraction in Ireland – linked to the activities of multi-national enterprises – weighed on aggregate growth in the euro area as a whole. An adjusted measure of euro area GDP, which uses “modified domestic demand” instead of GDP for Ireland, rose by 0.4% in the last quarter of 2025, 0.1 percentage points more than expected in the December projections.</w:t>
      </w:r>
      <w:r>
        <w:rPr>
          <w:rStyle w:val="FootnoteReference"/>
        </w:rPr>
        <w:footnoteReference w:id="4"/>
      </w:r>
      <w:r>
        <w:t xml:space="preserve"> Growth in gross value added was driven by services, such as information and communication, real estate</w:t>
      </w:r>
      <w:r w:rsidRPr="0069321D">
        <w:t xml:space="preserve"> </w:t>
      </w:r>
      <w:r>
        <w:t xml:space="preserve">and public </w:t>
      </w:r>
      <w:r w:rsidRPr="0069321D">
        <w:t>services</w:t>
      </w:r>
      <w:r>
        <w:t>,</w:t>
      </w:r>
      <w:r w:rsidRPr="0069321D">
        <w:t xml:space="preserve"> </w:t>
      </w:r>
      <w:r>
        <w:t>whereas manufacturing contracted again. P</w:t>
      </w:r>
      <w:r w:rsidRPr="00487097">
        <w:t xml:space="preserve">rivate consumption and government </w:t>
      </w:r>
      <w:r>
        <w:t xml:space="preserve">and housing </w:t>
      </w:r>
      <w:r w:rsidRPr="00487097">
        <w:t>investment</w:t>
      </w:r>
      <w:r>
        <w:t xml:space="preserve"> were somewhat stronger than expected, while trade flows were weaker. </w:t>
      </w:r>
    </w:p>
    <w:p w14:paraId="6C80C927" w14:textId="77777777" w:rsidR="00E24F39" w:rsidRDefault="00E24F39" w:rsidP="00E14986">
      <w:r>
        <w:rPr>
          <w:rStyle w:val="IntenseEmphasis"/>
        </w:rPr>
        <w:t>Economic growth maintained its momentum in the first two months of 2026, as implied by survey data to February, i.e. before the start of the war in the Middle East in March</w:t>
      </w:r>
      <w:r w:rsidRPr="00274820">
        <w:rPr>
          <w:rStyle w:val="IntenseEmphasis"/>
        </w:rPr>
        <w:t>.</w:t>
      </w:r>
      <w:r w:rsidRPr="00C565B1">
        <w:t xml:space="preserve"> </w:t>
      </w:r>
      <w:r w:rsidRPr="00CE396D">
        <w:t xml:space="preserve">The composite output </w:t>
      </w:r>
      <w:r>
        <w:t>Purchasing Managers’ Index (</w:t>
      </w:r>
      <w:r w:rsidRPr="00CE396D">
        <w:t>PMI</w:t>
      </w:r>
      <w:r>
        <w:t>)</w:t>
      </w:r>
      <w:r w:rsidRPr="00CE396D">
        <w:t xml:space="preserve"> </w:t>
      </w:r>
      <w:r>
        <w:t>increased to 51.9</w:t>
      </w:r>
      <w:r w:rsidRPr="00CE396D">
        <w:t xml:space="preserve"> in </w:t>
      </w:r>
      <w:r>
        <w:t>February,</w:t>
      </w:r>
      <w:r w:rsidRPr="004D5BF1">
        <w:t xml:space="preserve"> driven by </w:t>
      </w:r>
      <w:r>
        <w:t xml:space="preserve">the </w:t>
      </w:r>
      <w:r w:rsidRPr="00CE396D">
        <w:t>manufacturing output</w:t>
      </w:r>
      <w:r>
        <w:t xml:space="preserve"> component</w:t>
      </w:r>
      <w:r w:rsidRPr="004D5BF1">
        <w:t xml:space="preserve">, </w:t>
      </w:r>
      <w:r>
        <w:t xml:space="preserve">which rose </w:t>
      </w:r>
      <w:r w:rsidRPr="004D5BF1">
        <w:t>by 1.</w:t>
      </w:r>
      <w:r>
        <w:t>4</w:t>
      </w:r>
      <w:r w:rsidRPr="004D5BF1">
        <w:t xml:space="preserve"> </w:t>
      </w:r>
      <w:r>
        <w:t xml:space="preserve">points </w:t>
      </w:r>
      <w:r w:rsidRPr="004D5BF1">
        <w:t>to 5</w:t>
      </w:r>
      <w:r>
        <w:t>1</w:t>
      </w:r>
      <w:r w:rsidRPr="004D5BF1">
        <w:t>.</w:t>
      </w:r>
      <w:r>
        <w:t>9</w:t>
      </w:r>
      <w:r w:rsidRPr="004D5BF1">
        <w:t xml:space="preserve">, </w:t>
      </w:r>
      <w:r>
        <w:t>while the PMI for s</w:t>
      </w:r>
      <w:r w:rsidRPr="004D5BF1">
        <w:t xml:space="preserve">ervices business activity </w:t>
      </w:r>
      <w:r>
        <w:t xml:space="preserve">also </w:t>
      </w:r>
      <w:r w:rsidRPr="004D5BF1">
        <w:t>ticked up to 51.</w:t>
      </w:r>
      <w:r>
        <w:t xml:space="preserve">9. </w:t>
      </w:r>
      <w:r w:rsidRPr="00CE396D">
        <w:t xml:space="preserve">The European Commission’s Economic Sentiment Indicator </w:t>
      </w:r>
      <w:r>
        <w:t xml:space="preserve">edged down in February but remained above its end-2025 level, thus pointing to ongoing growth, amid increased </w:t>
      </w:r>
      <w:r w:rsidRPr="009317D3">
        <w:t>retail and consumer confidence</w:t>
      </w:r>
      <w:r w:rsidRPr="00BA26B4">
        <w:t>.</w:t>
      </w:r>
      <w:r>
        <w:t xml:space="preserve"> </w:t>
      </w:r>
    </w:p>
    <w:p w14:paraId="23B1DE0C" w14:textId="030329A6" w:rsidR="00E24F39" w:rsidRPr="00DD601F" w:rsidRDefault="00E24F39" w:rsidP="00E14986">
      <w:r>
        <w:rPr>
          <w:rStyle w:val="IntenseEmphasis"/>
        </w:rPr>
        <w:t>However, t</w:t>
      </w:r>
      <w:r w:rsidRPr="0054496C">
        <w:rPr>
          <w:rStyle w:val="IntenseEmphasis"/>
        </w:rPr>
        <w:t xml:space="preserve">he </w:t>
      </w:r>
      <w:r>
        <w:rPr>
          <w:rStyle w:val="IntenseEmphasis"/>
        </w:rPr>
        <w:t xml:space="preserve">war </w:t>
      </w:r>
      <w:r w:rsidRPr="0054496C">
        <w:rPr>
          <w:rStyle w:val="IntenseEmphasis"/>
        </w:rPr>
        <w:t xml:space="preserve">in the Middle East </w:t>
      </w:r>
      <w:r>
        <w:rPr>
          <w:rStyle w:val="IntenseEmphasis"/>
        </w:rPr>
        <w:t xml:space="preserve">has </w:t>
      </w:r>
      <w:r w:rsidRPr="0054496C">
        <w:rPr>
          <w:rStyle w:val="IntenseEmphasis"/>
        </w:rPr>
        <w:t xml:space="preserve">triggered a downward revision to </w:t>
      </w:r>
      <w:r>
        <w:rPr>
          <w:rStyle w:val="IntenseEmphasis"/>
        </w:rPr>
        <w:t xml:space="preserve">the short-term </w:t>
      </w:r>
      <w:r w:rsidRPr="0054496C">
        <w:rPr>
          <w:rStyle w:val="IntenseEmphasis"/>
        </w:rPr>
        <w:t xml:space="preserve">growth </w:t>
      </w:r>
      <w:r>
        <w:rPr>
          <w:rStyle w:val="IntenseEmphasis"/>
        </w:rPr>
        <w:t>outlook</w:t>
      </w:r>
      <w:r w:rsidRPr="0054496C">
        <w:rPr>
          <w:rStyle w:val="IntenseEmphasis"/>
        </w:rPr>
        <w:t xml:space="preserve">, as the shock to energy prices and </w:t>
      </w:r>
      <w:r>
        <w:rPr>
          <w:rStyle w:val="IntenseEmphasis"/>
        </w:rPr>
        <w:t xml:space="preserve">rising </w:t>
      </w:r>
      <w:r w:rsidRPr="0054496C">
        <w:rPr>
          <w:rStyle w:val="IntenseEmphasis"/>
        </w:rPr>
        <w:t xml:space="preserve">uncertainty </w:t>
      </w:r>
      <w:r>
        <w:rPr>
          <w:rStyle w:val="IntenseEmphasis"/>
        </w:rPr>
        <w:t>are</w:t>
      </w:r>
      <w:r w:rsidRPr="0054496C">
        <w:rPr>
          <w:rStyle w:val="IntenseEmphasis"/>
        </w:rPr>
        <w:t xml:space="preserve"> likely </w:t>
      </w:r>
      <w:r>
        <w:rPr>
          <w:rStyle w:val="IntenseEmphasis"/>
        </w:rPr>
        <w:t xml:space="preserve">to </w:t>
      </w:r>
      <w:r w:rsidRPr="0054496C">
        <w:rPr>
          <w:rStyle w:val="IntenseEmphasis"/>
        </w:rPr>
        <w:t>hit households’ purchasing power and consumer and business confidence.</w:t>
      </w:r>
      <w:r>
        <w:t xml:space="preserve"> </w:t>
      </w:r>
      <w:r w:rsidRPr="00661505">
        <w:t xml:space="preserve">The technical assumptions conditioning the projections </w:t>
      </w:r>
      <w:r>
        <w:t xml:space="preserve">reflect the expectation of a relatively contained conflict in the Middle East and imply that the adverse impact </w:t>
      </w:r>
      <w:r w:rsidRPr="00661505">
        <w:t xml:space="preserve">would </w:t>
      </w:r>
      <w:r>
        <w:t xml:space="preserve">be </w:t>
      </w:r>
      <w:r w:rsidRPr="00661505">
        <w:t>concentrated in the short term.</w:t>
      </w:r>
      <w:r>
        <w:t xml:space="preserve"> These assumptions are subject to very high uncertainty and warrant an enhanced focus on alternative scenarios (see </w:t>
      </w:r>
      <w:hyperlink w:anchor="_Alternative_scenarios_regarding" w:history="1">
        <w:r w:rsidRPr="007B6DFD">
          <w:rPr>
            <w:rStyle w:val="IntenseEmphasis"/>
          </w:rPr>
          <w:t>Section 3</w:t>
        </w:r>
      </w:hyperlink>
      <w:r>
        <w:t xml:space="preserve">). The current baseline projections entail more </w:t>
      </w:r>
      <w:r w:rsidRPr="00661505">
        <w:t xml:space="preserve">subdued consumption and investment </w:t>
      </w:r>
      <w:r>
        <w:t>dynamics than previously expected for the second and third quarters of 2026. Nevertheless, rising real incomes, against a backdrop of resilient labour markets, and increasing fiscal stimulus should continue to support growth. Quarterly growth is seen to drop from 0.3% in the first quarter, which is expected to remain relatively unaffected by the war, to stand at 0.1% in the second quarter and 0.2% in the third quarter (</w:t>
      </w:r>
      <w:r>
        <w:fldChar w:fldCharType="begin"/>
      </w:r>
      <w:r>
        <w:instrText xml:space="preserve"> REF _Ref176262312 \h </w:instrText>
      </w:r>
      <w:r>
        <w:fldChar w:fldCharType="separate"/>
      </w:r>
      <w:r w:rsidR="004D705B" w:rsidRPr="00C565B1">
        <w:rPr>
          <w:rStyle w:val="IntenseEmphasis"/>
        </w:rPr>
        <w:t xml:space="preserve">Chart </w:t>
      </w:r>
      <w:r w:rsidR="004D705B">
        <w:rPr>
          <w:rStyle w:val="IntenseEmphasis"/>
          <w:noProof/>
        </w:rPr>
        <w:t>1</w:t>
      </w:r>
      <w:r>
        <w:fldChar w:fldCharType="end"/>
      </w:r>
      <w:r w:rsidRPr="004D5BF1">
        <w:t>,</w:t>
      </w:r>
      <w:r>
        <w:t xml:space="preserve"> panel a). Relative to the December </w:t>
      </w:r>
      <w:r>
        <w:lastRenderedPageBreak/>
        <w:t xml:space="preserve">staff projections, this implies a downward revision of 0.3 percentage points </w:t>
      </w:r>
      <w:r w:rsidR="00806248">
        <w:t>for</w:t>
      </w:r>
      <w:r>
        <w:t xml:space="preserve"> the second quarter and one of 0.2 percentage points </w:t>
      </w:r>
      <w:r w:rsidR="00806248">
        <w:t>for</w:t>
      </w:r>
      <w:r>
        <w:t xml:space="preserve"> the third quarter.</w:t>
      </w:r>
    </w:p>
    <w:p w14:paraId="79A03604" w14:textId="3CC84A39" w:rsidR="00E24F39" w:rsidRPr="00017B2B" w:rsidRDefault="00E24F39" w:rsidP="00E14986">
      <w:pPr>
        <w:pStyle w:val="Chartright-Heading"/>
      </w:pPr>
      <w:r w:rsidRPr="00C565B1">
        <w:rPr>
          <w:rStyle w:val="IntenseEmphasis"/>
        </w:rPr>
        <w:t xml:space="preserve">Chart </w:t>
      </w:r>
      <w:r w:rsidRPr="00C565B1">
        <w:rPr>
          <w:rStyle w:val="IntenseEmphasis"/>
        </w:rPr>
        <w:fldChar w:fldCharType="begin"/>
      </w:r>
      <w:r w:rsidRPr="00C565B1">
        <w:rPr>
          <w:rStyle w:val="IntenseEmphasis"/>
        </w:rPr>
        <w:instrText xml:space="preserve"> SEQ Chart \* ARABIC </w:instrText>
      </w:r>
      <w:r w:rsidRPr="00C565B1">
        <w:rPr>
          <w:rStyle w:val="IntenseEmphasis"/>
        </w:rPr>
        <w:fldChar w:fldCharType="separate"/>
      </w:r>
      <w:r w:rsidR="004D705B">
        <w:rPr>
          <w:rStyle w:val="IntenseEmphasis"/>
          <w:noProof/>
        </w:rPr>
        <w:t>1</w:t>
      </w:r>
      <w:r w:rsidRPr="00C565B1">
        <w:rPr>
          <w:rStyle w:val="IntenseEmphasis"/>
        </w:rPr>
        <w:fldChar w:fldCharType="end"/>
      </w:r>
      <w:r w:rsidRPr="00017B2B">
        <w:br/>
        <w:t>Euro area real GDP</w:t>
      </w:r>
    </w:p>
    <w:tbl>
      <w:tblPr>
        <w:tblStyle w:val="ChartDuo"/>
        <w:tblW w:w="5000" w:type="pct"/>
        <w:tblBorders>
          <w:insideV w:val="none" w:sz="0" w:space="0" w:color="auto"/>
        </w:tblBorders>
        <w:tblLayout w:type="fixed"/>
        <w:tblLook w:val="0600" w:firstRow="0" w:lastRow="0" w:firstColumn="0" w:lastColumn="0" w:noHBand="1" w:noVBand="1"/>
      </w:tblPr>
      <w:tblGrid>
        <w:gridCol w:w="3572"/>
        <w:gridCol w:w="3572"/>
      </w:tblGrid>
      <w:tr w:rsidR="00E24F39" w:rsidRPr="00E61BAA" w14:paraId="53A89451" w14:textId="77777777" w:rsidTr="001377AC">
        <w:trPr>
          <w:trHeight w:val="20"/>
        </w:trPr>
        <w:tc>
          <w:tcPr>
            <w:tcW w:w="0" w:type="pct"/>
          </w:tcPr>
          <w:p w14:paraId="1245387C" w14:textId="77777777" w:rsidR="00E24F39" w:rsidRPr="007B6DFD" w:rsidRDefault="00E24F39" w:rsidP="007B6DFD">
            <w:pPr>
              <w:rPr>
                <w:rStyle w:val="Duochart-informativetitle"/>
                <w:rFonts w:eastAsia="Times New Roman" w:cs="Sendnya"/>
                <w:szCs w:val="22"/>
              </w:rPr>
            </w:pPr>
            <w:r w:rsidRPr="007B6DFD">
              <w:rPr>
                <w:rStyle w:val="Duochart-informativetitle"/>
                <w:rFonts w:eastAsia="Times New Roman" w:cs="Sendnya"/>
                <w:szCs w:val="22"/>
              </w:rPr>
              <w:t>a) Real GDP growth</w:t>
            </w:r>
          </w:p>
        </w:tc>
        <w:tc>
          <w:tcPr>
            <w:tcW w:w="0" w:type="pct"/>
          </w:tcPr>
          <w:p w14:paraId="0494986F" w14:textId="77777777" w:rsidR="00E24F39" w:rsidRPr="007B6DFD" w:rsidRDefault="00E24F39" w:rsidP="007B6DFD">
            <w:pPr>
              <w:rPr>
                <w:rStyle w:val="Duochart-informativetitle"/>
                <w:rFonts w:eastAsia="Times New Roman" w:cs="Sendnya"/>
                <w:szCs w:val="22"/>
              </w:rPr>
            </w:pPr>
            <w:r w:rsidRPr="007B6DFD">
              <w:rPr>
                <w:rStyle w:val="Duochart-informativetitle"/>
                <w:rFonts w:eastAsia="Times New Roman" w:cs="Sendnya"/>
                <w:szCs w:val="22"/>
              </w:rPr>
              <w:t>b) Real GDP levels</w:t>
            </w:r>
          </w:p>
        </w:tc>
      </w:tr>
      <w:tr w:rsidR="00E24F39" w:rsidRPr="00E61BAA" w14:paraId="42266A3F" w14:textId="77777777" w:rsidTr="001377AC">
        <w:trPr>
          <w:trHeight w:val="288"/>
        </w:trPr>
        <w:tc>
          <w:tcPr>
            <w:tcW w:w="0" w:type="pct"/>
          </w:tcPr>
          <w:p w14:paraId="054ED7E6" w14:textId="77777777" w:rsidR="00E24F39" w:rsidRPr="00E14986" w:rsidRDefault="00E24F39" w:rsidP="00E14986">
            <w:pPr>
              <w:pStyle w:val="Chartright-Picture"/>
            </w:pPr>
            <w:r w:rsidRPr="00017B2B">
              <w:t>(quarter-on-quarter percentage changes, seasonally and working day-adjusted quarterly data)</w:t>
            </w:r>
            <w:r w:rsidRPr="00E14986">
              <w:t xml:space="preserve"> </w:t>
            </w:r>
          </w:p>
        </w:tc>
        <w:tc>
          <w:tcPr>
            <w:tcW w:w="0" w:type="pct"/>
          </w:tcPr>
          <w:p w14:paraId="3CBD3852" w14:textId="77777777" w:rsidR="00E24F39" w:rsidRPr="00E14986" w:rsidRDefault="00E24F39" w:rsidP="00E14986">
            <w:pPr>
              <w:pStyle w:val="Chartright-Picture"/>
            </w:pPr>
            <w:r w:rsidRPr="00017B2B">
              <w:t>(chain-linked volumes in EUR billions)</w:t>
            </w:r>
            <w:r w:rsidRPr="00E14986">
              <w:t xml:space="preserve"> </w:t>
            </w:r>
          </w:p>
        </w:tc>
      </w:tr>
      <w:tr w:rsidR="00E24F39" w:rsidRPr="00E61BAA" w14:paraId="260DBEB4" w14:textId="77777777" w:rsidTr="001377AC">
        <w:trPr>
          <w:trHeight w:val="3370"/>
        </w:trPr>
        <w:tc>
          <w:tcPr>
            <w:tcW w:w="0" w:type="pct"/>
          </w:tcPr>
          <w:p w14:paraId="56C6BF2A" w14:textId="595188C1" w:rsidR="00E24F39" w:rsidRPr="00E14986" w:rsidRDefault="00637789" w:rsidP="00E14986">
            <w:pPr>
              <w:pStyle w:val="Chartright-Picture"/>
            </w:pPr>
            <w:r>
              <w:rPr>
                <w:noProof/>
              </w:rPr>
              <w:drawing>
                <wp:inline distT="0" distB="0" distL="0" distR="0" wp14:anchorId="50545D2D" wp14:editId="3FD4947E">
                  <wp:extent cx="2273935" cy="2268220"/>
                  <wp:effectExtent l="0" t="0" r="0" b="0"/>
                  <wp:docPr id="1139127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935" cy="2268220"/>
                          </a:xfrm>
                          <a:prstGeom prst="rect">
                            <a:avLst/>
                          </a:prstGeom>
                          <a:noFill/>
                        </pic:spPr>
                      </pic:pic>
                    </a:graphicData>
                  </a:graphic>
                </wp:inline>
              </w:drawing>
            </w:r>
          </w:p>
        </w:tc>
        <w:tc>
          <w:tcPr>
            <w:tcW w:w="0" w:type="pct"/>
          </w:tcPr>
          <w:p w14:paraId="21A084A7" w14:textId="77777777" w:rsidR="00E24F39" w:rsidRPr="00E14986" w:rsidRDefault="00E24F39" w:rsidP="00E14986">
            <w:pPr>
              <w:pStyle w:val="Chartright-Picture"/>
            </w:pPr>
            <w:r>
              <w:rPr>
                <w:noProof/>
              </w:rPr>
              <w:drawing>
                <wp:inline distT="0" distB="0" distL="0" distR="0" wp14:anchorId="211A4664" wp14:editId="080B3C74">
                  <wp:extent cx="2268220" cy="2268220"/>
                  <wp:effectExtent l="0" t="0" r="0" b="0"/>
                  <wp:docPr id="1915392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8220" cy="2268220"/>
                          </a:xfrm>
                          <a:prstGeom prst="rect">
                            <a:avLst/>
                          </a:prstGeom>
                          <a:noFill/>
                        </pic:spPr>
                      </pic:pic>
                    </a:graphicData>
                  </a:graphic>
                </wp:inline>
              </w:drawing>
            </w:r>
          </w:p>
        </w:tc>
      </w:tr>
    </w:tbl>
    <w:p w14:paraId="7859D687" w14:textId="3721A768" w:rsidR="00E24F39" w:rsidRPr="00017B2B" w:rsidRDefault="00E24F39" w:rsidP="00E14986">
      <w:pPr>
        <w:pStyle w:val="Chartright-SourcesNotes"/>
      </w:pPr>
      <w:r w:rsidRPr="00017B2B">
        <w:t>Notes: Historical data may differ from the latest Eurostat publications. The vertical line indicate</w:t>
      </w:r>
      <w:r>
        <w:t>s</w:t>
      </w:r>
      <w:r w:rsidRPr="00017B2B">
        <w:t xml:space="preserve"> the start of the current projection horizon.</w:t>
      </w:r>
      <w:r w:rsidR="00401170">
        <w:t xml:space="preserve"> </w:t>
      </w:r>
      <w:r w:rsidR="00401170" w:rsidRPr="00401170">
        <w:t xml:space="preserve">This chart does not show uncertainty bands around the projections. This reflects the fact that the standard computation of the fan charts (based on historical projection errors) would not, in the present circumstances, provide a reliable indication of the </w:t>
      </w:r>
      <w:r w:rsidR="00240E29">
        <w:t>high</w:t>
      </w:r>
      <w:r w:rsidR="00401170" w:rsidRPr="00401170">
        <w:t xml:space="preserve"> uncertainty surrounding the current projections. Instead, in order to better illustrate the current uncertainty, alternative scenarios which assume varying degrees of severity of the economic impact of the war in the Middle East are presented in Section 3.</w:t>
      </w:r>
      <w:r>
        <w:t xml:space="preserve"> </w:t>
      </w:r>
    </w:p>
    <w:p w14:paraId="298802C3" w14:textId="21201993" w:rsidR="00E24F39" w:rsidRDefault="00E24F39" w:rsidP="00E14986">
      <w:r>
        <w:rPr>
          <w:rStyle w:val="IntenseEmphasis"/>
        </w:rPr>
        <w:t>Over the medium term, annual re</w:t>
      </w:r>
      <w:r w:rsidRPr="002E158B">
        <w:rPr>
          <w:rStyle w:val="IntenseEmphasis"/>
        </w:rPr>
        <w:t>al GDP growth</w:t>
      </w:r>
      <w:r>
        <w:rPr>
          <w:rStyle w:val="IntenseEmphasis"/>
        </w:rPr>
        <w:t xml:space="preserve"> is projected to increase from 0.9% in 2026 to 1.3% in 2027 and 1.4% in 2028</w:t>
      </w:r>
      <w:r w:rsidRPr="002E158B">
        <w:rPr>
          <w:rStyle w:val="IntenseEmphasis"/>
        </w:rPr>
        <w:t xml:space="preserve"> </w:t>
      </w:r>
      <w:r>
        <w:rPr>
          <w:rStyle w:val="IntenseEmphasis"/>
        </w:rPr>
        <w:t>as domestic demand recovers, on the underlying assumption embedded in energy price futures of a short-lived shock, and</w:t>
      </w:r>
      <w:r w:rsidR="008A2102">
        <w:rPr>
          <w:rStyle w:val="IntenseEmphasis"/>
        </w:rPr>
        <w:t xml:space="preserve"> as</w:t>
      </w:r>
      <w:r>
        <w:rPr>
          <w:rStyle w:val="IntenseEmphasis"/>
        </w:rPr>
        <w:t xml:space="preserve"> the negative contribution of net exports turn</w:t>
      </w:r>
      <w:r w:rsidR="008A2102">
        <w:rPr>
          <w:rStyle w:val="IntenseEmphasis"/>
        </w:rPr>
        <w:t>s</w:t>
      </w:r>
      <w:r>
        <w:rPr>
          <w:rStyle w:val="IntenseEmphasis"/>
        </w:rPr>
        <w:t xml:space="preserve"> marginally positive in 2027(</w:t>
      </w:r>
      <w:r>
        <w:fldChar w:fldCharType="begin"/>
      </w:r>
      <w:r>
        <w:instrText xml:space="preserve"> REF _Ref206749914 \h </w:instrText>
      </w:r>
      <w:r>
        <w:fldChar w:fldCharType="separate"/>
      </w:r>
      <w:r w:rsidR="004D705B" w:rsidRPr="00E24B97">
        <w:rPr>
          <w:rStyle w:val="IntenseEmphasis"/>
        </w:rPr>
        <w:t xml:space="preserve">Chart </w:t>
      </w:r>
      <w:r w:rsidR="004D705B">
        <w:rPr>
          <w:rStyle w:val="IntenseEmphasis"/>
          <w:noProof/>
        </w:rPr>
        <w:t>2</w:t>
      </w:r>
      <w:r>
        <w:fldChar w:fldCharType="end"/>
      </w:r>
      <w:r>
        <w:t xml:space="preserve"> </w:t>
      </w:r>
      <w:r>
        <w:rPr>
          <w:rStyle w:val="IntenseEmphasis"/>
        </w:rPr>
        <w:t xml:space="preserve">and </w:t>
      </w:r>
      <w:r>
        <w:rPr>
          <w:rStyle w:val="IntenseEmphasis"/>
        </w:rPr>
        <w:fldChar w:fldCharType="begin"/>
      </w:r>
      <w:r>
        <w:rPr>
          <w:rStyle w:val="IntenseEmphasis"/>
        </w:rPr>
        <w:instrText xml:space="preserve"> REF _Ref224381806 \h </w:instrText>
      </w:r>
      <w:r>
        <w:rPr>
          <w:rStyle w:val="IntenseEmphasis"/>
        </w:rPr>
      </w:r>
      <w:r>
        <w:rPr>
          <w:rStyle w:val="IntenseEmphasis"/>
        </w:rPr>
        <w:fldChar w:fldCharType="separate"/>
      </w:r>
      <w:r w:rsidR="004D705B" w:rsidRPr="00C565B1">
        <w:rPr>
          <w:rStyle w:val="IntenseEmphasis"/>
        </w:rPr>
        <w:t xml:space="preserve">Table </w:t>
      </w:r>
      <w:r w:rsidR="004D705B">
        <w:rPr>
          <w:rStyle w:val="IntenseEmphasis"/>
          <w:noProof/>
        </w:rPr>
        <w:t>2</w:t>
      </w:r>
      <w:r>
        <w:rPr>
          <w:rStyle w:val="IntenseEmphasis"/>
        </w:rPr>
        <w:fldChar w:fldCharType="end"/>
      </w:r>
      <w:r>
        <w:rPr>
          <w:rStyle w:val="IntenseEmphasis"/>
        </w:rPr>
        <w:t>).</w:t>
      </w:r>
      <w:r>
        <w:t xml:space="preserve"> The dip in annual growth in 2026 to 0.9%, from 1.5% in 2025, reflects both lower intra-year dynamics and a smaller carry-over effect. From an expenditure perspective, private consumption is projected to remain the largest contributor to growth, complemented by strong investment dynamics. </w:t>
      </w:r>
    </w:p>
    <w:p w14:paraId="61DEC748" w14:textId="6781D93E" w:rsidR="00E24F39" w:rsidRDefault="00E24F39" w:rsidP="00DB414D">
      <w:pPr>
        <w:pStyle w:val="ListBullet"/>
      </w:pPr>
      <w:r w:rsidRPr="00C61C05">
        <w:rPr>
          <w:rStyle w:val="IntenseEmphasis"/>
        </w:rPr>
        <w:t xml:space="preserve">Household spending </w:t>
      </w:r>
      <w:r>
        <w:rPr>
          <w:rStyle w:val="IntenseEmphasis"/>
        </w:rPr>
        <w:t xml:space="preserve">is expected to be more subdued in the short term, following the onset of the war in the Middle East, but </w:t>
      </w:r>
      <w:r w:rsidRPr="00C61C05">
        <w:rPr>
          <w:rStyle w:val="IntenseEmphasis"/>
        </w:rPr>
        <w:t xml:space="preserve">should </w:t>
      </w:r>
      <w:r>
        <w:rPr>
          <w:rStyle w:val="IntenseEmphasis"/>
        </w:rPr>
        <w:t>strengthen in the medium term</w:t>
      </w:r>
      <w:r w:rsidRPr="00C61C05">
        <w:rPr>
          <w:rStyle w:val="IntenseEmphasis"/>
        </w:rPr>
        <w:t>.</w:t>
      </w:r>
      <w:r>
        <w:t xml:space="preserve"> The conflict</w:t>
      </w:r>
      <w:r w:rsidR="008A2102">
        <w:t xml:space="preserve"> is seen to</w:t>
      </w:r>
      <w:r>
        <w:t xml:space="preserve"> dampen private consumption mainly through losses in purchasing power, higher uncertainty and expected somewhat lower employment. Nevertheless, growth in private consumption is projected to be sustained by stronger real wage growth in the medium term, following a dip due to the higher inflation in 2026, and </w:t>
      </w:r>
      <w:r w:rsidR="00806248">
        <w:t xml:space="preserve">by </w:t>
      </w:r>
      <w:r>
        <w:t>still resilient labour markets. The household saving ratio should decline somewhat in spite of some upward impact from the heightened uncertainty</w:t>
      </w:r>
      <w:r w:rsidDel="00434B06">
        <w:t>.</w:t>
      </w:r>
    </w:p>
    <w:p w14:paraId="3A900A32" w14:textId="7B780C3E" w:rsidR="00E24F39" w:rsidRDefault="00E24F39" w:rsidP="00FB360B">
      <w:pPr>
        <w:pStyle w:val="ListBullet"/>
      </w:pPr>
      <w:r w:rsidRPr="00C61C05">
        <w:rPr>
          <w:rStyle w:val="IntenseEmphasis"/>
        </w:rPr>
        <w:t xml:space="preserve">Investment should outpace GDP growth </w:t>
      </w:r>
      <w:r>
        <w:rPr>
          <w:rStyle w:val="IntenseEmphasis"/>
        </w:rPr>
        <w:t>over</w:t>
      </w:r>
      <w:r w:rsidRPr="00C61C05">
        <w:rPr>
          <w:rStyle w:val="IntenseEmphasis"/>
        </w:rPr>
        <w:t xml:space="preserve"> the </w:t>
      </w:r>
      <w:r>
        <w:rPr>
          <w:rStyle w:val="IntenseEmphasis"/>
        </w:rPr>
        <w:t xml:space="preserve">entire projection </w:t>
      </w:r>
      <w:r w:rsidRPr="00C61C05">
        <w:rPr>
          <w:rStyle w:val="IntenseEmphasis"/>
        </w:rPr>
        <w:t>horizon</w:t>
      </w:r>
      <w:r>
        <w:rPr>
          <w:rStyle w:val="IntenseEmphasis"/>
        </w:rPr>
        <w:t xml:space="preserve"> despite initially being weakened by the war</w:t>
      </w:r>
      <w:r w:rsidRPr="00C61C05">
        <w:rPr>
          <w:rStyle w:val="IntenseEmphasis"/>
        </w:rPr>
        <w:t>.</w:t>
      </w:r>
      <w:r>
        <w:t xml:space="preserve"> In particular, the conflict is expected to dampen private investment through heightened uncertainty and the accelerator effect from lower demand. Nevertheless, b</w:t>
      </w:r>
      <w:r w:rsidRPr="00492802">
        <w:t xml:space="preserve">usiness investment is </w:t>
      </w:r>
      <w:r w:rsidRPr="00492802">
        <w:lastRenderedPageBreak/>
        <w:t xml:space="preserve">expected to compensate </w:t>
      </w:r>
      <w:r>
        <w:t xml:space="preserve">to a large extent </w:t>
      </w:r>
      <w:r w:rsidRPr="00492802">
        <w:t>for the slowdown in public investment in 2027-28 following the expiry of the Next Generation EU (NGEU) programme. It will be supported by improving domestic and foreign demand, increased defence and infrastructure spending, reced</w:t>
      </w:r>
      <w:r>
        <w:t>ing</w:t>
      </w:r>
      <w:r w:rsidRPr="00492802">
        <w:t xml:space="preserve"> uncertainty, </w:t>
      </w:r>
      <w:r>
        <w:t xml:space="preserve">still </w:t>
      </w:r>
      <w:r w:rsidRPr="00492802">
        <w:t>supportive financing conditions and strengthening profits.</w:t>
      </w:r>
      <w:r>
        <w:t xml:space="preserve"> Housing investment should continue to recover on account of higher incomes, amid resilient labour markets, but it is likely to grow </w:t>
      </w:r>
      <w:r w:rsidR="00806248">
        <w:t xml:space="preserve">at a </w:t>
      </w:r>
      <w:r>
        <w:t>more moderate</w:t>
      </w:r>
      <w:r w:rsidR="00806248">
        <w:t xml:space="preserve"> pace</w:t>
      </w:r>
      <w:r>
        <w:t xml:space="preserve"> as higher mortgage rates weigh on affordability.</w:t>
      </w:r>
      <w:r w:rsidRPr="006C44DE">
        <w:t xml:space="preserve"> </w:t>
      </w:r>
    </w:p>
    <w:p w14:paraId="42E3EF5D" w14:textId="77777777" w:rsidR="00E24F39" w:rsidRDefault="00E24F39" w:rsidP="00DB414D">
      <w:pPr>
        <w:pStyle w:val="ListBullet"/>
      </w:pPr>
      <w:r w:rsidRPr="00C61C05">
        <w:rPr>
          <w:rStyle w:val="IntenseEmphasis"/>
        </w:rPr>
        <w:t>Export growth is expected to remain subdued, as persistent euro area competitiveness challenges, US tariffs and the past appreciation</w:t>
      </w:r>
      <w:r>
        <w:rPr>
          <w:rStyle w:val="IntenseEmphasis"/>
        </w:rPr>
        <w:t xml:space="preserve"> of the euro</w:t>
      </w:r>
      <w:r w:rsidRPr="00C61C05">
        <w:rPr>
          <w:rStyle w:val="IntenseEmphasis"/>
        </w:rPr>
        <w:t xml:space="preserve"> </w:t>
      </w:r>
      <w:r>
        <w:rPr>
          <w:rStyle w:val="IntenseEmphasis"/>
        </w:rPr>
        <w:t xml:space="preserve">continue to </w:t>
      </w:r>
      <w:r w:rsidRPr="00C61C05">
        <w:rPr>
          <w:rStyle w:val="IntenseEmphasis"/>
        </w:rPr>
        <w:t>weigh on export performance.</w:t>
      </w:r>
      <w:r>
        <w:t xml:space="preserve"> The war in the Middle East is expected to have a relatively mild impact on export growth, which should benefit in the short run from major trading partners’ somewhat better recent economic performance as well as a moderate boost from lower tariffs (see </w:t>
      </w:r>
      <w:r w:rsidRPr="009F233E">
        <w:rPr>
          <w:rStyle w:val="IntenseEmphasis"/>
        </w:rPr>
        <w:t>Box 1</w:t>
      </w:r>
      <w:r>
        <w:t xml:space="preserve">). Even so, the euro area is expected to see further losses in its export market share. Overall, net exports are likely to make a small negative contribution to real GDP growth in 2026, before turning marginally positive in 2027 and broadly neutral in 2028. </w:t>
      </w:r>
    </w:p>
    <w:p w14:paraId="3D629C66" w14:textId="77777777" w:rsidR="00E24F39" w:rsidRDefault="00E24F39" w:rsidP="00E14986">
      <w:r w:rsidRPr="0054496C">
        <w:rPr>
          <w:rStyle w:val="IntenseEmphasis"/>
        </w:rPr>
        <w:t xml:space="preserve">Domestic demand </w:t>
      </w:r>
      <w:r>
        <w:rPr>
          <w:rStyle w:val="IntenseEmphasis"/>
        </w:rPr>
        <w:t>is expected to be</w:t>
      </w:r>
      <w:r w:rsidRPr="0054496C">
        <w:rPr>
          <w:rStyle w:val="IntenseEmphasis"/>
        </w:rPr>
        <w:t xml:space="preserve"> supported by the ongoing fiscal stimulus related to defence and infrastructure spending.</w:t>
      </w:r>
      <w:r>
        <w:t xml:space="preserve"> </w:t>
      </w:r>
      <w:r w:rsidRPr="002B3C8C">
        <w:t xml:space="preserve">The cumulative </w:t>
      </w:r>
      <w:r>
        <w:t xml:space="preserve">growth </w:t>
      </w:r>
      <w:r w:rsidRPr="002B3C8C">
        <w:t xml:space="preserve">impact </w:t>
      </w:r>
      <w:r>
        <w:t>from the f</w:t>
      </w:r>
      <w:r w:rsidRPr="002B3C8C">
        <w:t>iscal spending on defence and infrastructure, mostly accounted for by Germany</w:t>
      </w:r>
      <w:r>
        <w:t xml:space="preserve"> and with its strongest impulse in 2026,</w:t>
      </w:r>
      <w:r w:rsidRPr="002B3C8C">
        <w:t xml:space="preserve"> is estimated </w:t>
      </w:r>
      <w:r>
        <w:t>to be</w:t>
      </w:r>
      <w:r w:rsidRPr="002B3C8C">
        <w:t xml:space="preserve"> 0.5</w:t>
      </w:r>
      <w:r>
        <w:t xml:space="preserve"> percentage points.</w:t>
      </w:r>
      <w:r>
        <w:rPr>
          <w:rStyle w:val="FootnoteReference"/>
        </w:rPr>
        <w:footnoteReference w:id="5"/>
      </w:r>
      <w:r w:rsidRPr="002B3C8C">
        <w:t xml:space="preserve"> </w:t>
      </w:r>
      <w:r>
        <w:t>The projections follow the usual conventions whereby only fiscal measures that have already been legislated or have been announced and are highly likely to be legislated are included. Possible future measures by governments to contain the economic impact from the crisis, such as those observed after the last energy price spike in 2022, are not included.</w:t>
      </w:r>
    </w:p>
    <w:p w14:paraId="0B16D830" w14:textId="5E65B8E2" w:rsidR="00E24F39" w:rsidRPr="00E24B97" w:rsidRDefault="00E24F39" w:rsidP="00E14986">
      <w:pPr>
        <w:pStyle w:val="Chartright-Heading"/>
      </w:pPr>
      <w:r w:rsidRPr="00E24B97">
        <w:rPr>
          <w:rStyle w:val="IntenseEmphasis"/>
        </w:rPr>
        <w:lastRenderedPageBreak/>
        <w:t xml:space="preserve">Chart </w:t>
      </w:r>
      <w:r w:rsidRPr="00E24B97">
        <w:rPr>
          <w:rStyle w:val="IntenseEmphasis"/>
        </w:rPr>
        <w:fldChar w:fldCharType="begin"/>
      </w:r>
      <w:r w:rsidRPr="00E24B97">
        <w:rPr>
          <w:rStyle w:val="IntenseEmphasis"/>
        </w:rPr>
        <w:instrText xml:space="preserve"> SEQ Chart \* ARABIC </w:instrText>
      </w:r>
      <w:r w:rsidRPr="00E24B97">
        <w:rPr>
          <w:rStyle w:val="IntenseEmphasis"/>
        </w:rPr>
        <w:fldChar w:fldCharType="separate"/>
      </w:r>
      <w:r w:rsidR="004D705B">
        <w:rPr>
          <w:rStyle w:val="IntenseEmphasis"/>
          <w:noProof/>
        </w:rPr>
        <w:t>2</w:t>
      </w:r>
      <w:r w:rsidRPr="00E24B97">
        <w:rPr>
          <w:rStyle w:val="IntenseEmphasis"/>
        </w:rPr>
        <w:fldChar w:fldCharType="end"/>
      </w:r>
      <w:r w:rsidRPr="00E24B97">
        <w:br/>
        <w:t>Euro area real GDP growth – decomposition</w:t>
      </w:r>
      <w:r>
        <w:t>s</w:t>
      </w:r>
      <w:r w:rsidRPr="00E24B97">
        <w:t xml:space="preserve"> </w:t>
      </w:r>
    </w:p>
    <w:tbl>
      <w:tblPr>
        <w:tblStyle w:val="ChartDuo"/>
        <w:tblW w:w="5000" w:type="pct"/>
        <w:tblBorders>
          <w:insideV w:val="none" w:sz="0" w:space="0" w:color="auto"/>
        </w:tblBorders>
        <w:tblLayout w:type="fixed"/>
        <w:tblLook w:val="0600" w:firstRow="0" w:lastRow="0" w:firstColumn="0" w:lastColumn="0" w:noHBand="1" w:noVBand="1"/>
      </w:tblPr>
      <w:tblGrid>
        <w:gridCol w:w="3572"/>
        <w:gridCol w:w="3572"/>
      </w:tblGrid>
      <w:tr w:rsidR="00E24F39" w:rsidRPr="00141866" w14:paraId="3AF80737" w14:textId="77777777" w:rsidTr="001377AC">
        <w:tc>
          <w:tcPr>
            <w:tcW w:w="0" w:type="pct"/>
          </w:tcPr>
          <w:p w14:paraId="067068D5" w14:textId="77777777" w:rsidR="00E24F39" w:rsidRPr="007B6DFD" w:rsidRDefault="00E24F39" w:rsidP="001377AC">
            <w:pPr>
              <w:pStyle w:val="Chartright-Picture"/>
              <w:rPr>
                <w:rStyle w:val="Duochart-informativetitle"/>
                <w:kern w:val="19"/>
              </w:rPr>
            </w:pPr>
            <w:r w:rsidRPr="007B6DFD">
              <w:rPr>
                <w:rStyle w:val="Duochart-informativetitle"/>
              </w:rPr>
              <w:t xml:space="preserve">a) </w:t>
            </w:r>
            <w:r w:rsidRPr="00BA6E88">
              <w:rPr>
                <w:rStyle w:val="Duochart-informativetitle"/>
                <w:rFonts w:asciiTheme="majorHAnsi" w:hAnsiTheme="majorHAnsi" w:cstheme="majorHAnsi"/>
              </w:rPr>
              <w:t>Intra-</w:t>
            </w:r>
            <w:r w:rsidRPr="0010697D">
              <w:rPr>
                <w:rStyle w:val="Duochart-informativetitle"/>
              </w:rPr>
              <w:t>year growth and carry-over effects</w:t>
            </w:r>
          </w:p>
        </w:tc>
        <w:tc>
          <w:tcPr>
            <w:tcW w:w="0" w:type="pct"/>
          </w:tcPr>
          <w:p w14:paraId="21725A1E" w14:textId="77777777" w:rsidR="00E24F39" w:rsidRPr="007B6DFD" w:rsidRDefault="00E24F39" w:rsidP="001377AC">
            <w:pPr>
              <w:pStyle w:val="Chartright-Picture"/>
              <w:rPr>
                <w:rStyle w:val="Duochart-informativetitle"/>
              </w:rPr>
            </w:pPr>
            <w:r w:rsidRPr="007B6DFD">
              <w:rPr>
                <w:rStyle w:val="Duochart-informativetitle"/>
              </w:rPr>
              <w:t>b) Expenditure components</w:t>
            </w:r>
          </w:p>
        </w:tc>
      </w:tr>
      <w:tr w:rsidR="00E24F39" w:rsidRPr="00E61BAA" w14:paraId="602D5FC3" w14:textId="77777777" w:rsidTr="001377AC">
        <w:tc>
          <w:tcPr>
            <w:tcW w:w="0" w:type="pct"/>
          </w:tcPr>
          <w:p w14:paraId="5839AC69" w14:textId="77777777" w:rsidR="00E24F39" w:rsidRPr="00E14986" w:rsidRDefault="00E24F39" w:rsidP="00215A2A">
            <w:pPr>
              <w:pStyle w:val="Chartright-Picture"/>
            </w:pPr>
            <w:r w:rsidRPr="00E24B97">
              <w:t>(annual percentage changes and percentage point contributions)</w:t>
            </w:r>
          </w:p>
        </w:tc>
        <w:tc>
          <w:tcPr>
            <w:tcW w:w="0" w:type="pct"/>
          </w:tcPr>
          <w:p w14:paraId="37981368" w14:textId="77777777" w:rsidR="00E24F39" w:rsidRPr="00E14986" w:rsidRDefault="00E24F39" w:rsidP="00215A2A">
            <w:pPr>
              <w:pStyle w:val="Chartright-Picture"/>
            </w:pPr>
            <w:r w:rsidRPr="004B4833">
              <w:t>(annual percentage changes and percentage point contributions)</w:t>
            </w:r>
          </w:p>
        </w:tc>
      </w:tr>
      <w:tr w:rsidR="00E24F39" w:rsidRPr="00E61BAA" w14:paraId="0E275D72" w14:textId="77777777" w:rsidTr="001377AC">
        <w:tc>
          <w:tcPr>
            <w:tcW w:w="0" w:type="pct"/>
          </w:tcPr>
          <w:p w14:paraId="47BF93A8" w14:textId="6E5D7549" w:rsidR="00E24F39" w:rsidRPr="00E14986" w:rsidRDefault="00260DAB" w:rsidP="00215A2A">
            <w:pPr>
              <w:pStyle w:val="Chartright-Picture"/>
            </w:pPr>
            <w:r>
              <w:rPr>
                <w:noProof/>
              </w:rPr>
              <w:drawing>
                <wp:inline distT="0" distB="0" distL="0" distR="0" wp14:anchorId="0F5D2F25" wp14:editId="35A0A16C">
                  <wp:extent cx="2231390" cy="2524125"/>
                  <wp:effectExtent l="0" t="0" r="0" b="9525"/>
                  <wp:docPr id="79084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1390" cy="2524125"/>
                          </a:xfrm>
                          <a:prstGeom prst="rect">
                            <a:avLst/>
                          </a:prstGeom>
                          <a:noFill/>
                        </pic:spPr>
                      </pic:pic>
                    </a:graphicData>
                  </a:graphic>
                </wp:inline>
              </w:drawing>
            </w:r>
          </w:p>
        </w:tc>
        <w:tc>
          <w:tcPr>
            <w:tcW w:w="0" w:type="pct"/>
          </w:tcPr>
          <w:p w14:paraId="1B906961" w14:textId="77777777" w:rsidR="00E24F39" w:rsidRPr="00E14986" w:rsidRDefault="00E24F39" w:rsidP="00215A2A">
            <w:pPr>
              <w:pStyle w:val="Chartright-Picture"/>
            </w:pPr>
            <w:r>
              <w:rPr>
                <w:noProof/>
              </w:rPr>
              <w:drawing>
                <wp:inline distT="0" distB="0" distL="0" distR="0" wp14:anchorId="2B63E38E" wp14:editId="321D9BCC">
                  <wp:extent cx="2231390" cy="2524125"/>
                  <wp:effectExtent l="0" t="0" r="0" b="9525"/>
                  <wp:docPr id="593269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1390" cy="2524125"/>
                          </a:xfrm>
                          <a:prstGeom prst="rect">
                            <a:avLst/>
                          </a:prstGeom>
                          <a:noFill/>
                        </pic:spPr>
                      </pic:pic>
                    </a:graphicData>
                  </a:graphic>
                </wp:inline>
              </w:drawing>
            </w:r>
          </w:p>
        </w:tc>
      </w:tr>
    </w:tbl>
    <w:p w14:paraId="1738A287" w14:textId="77777777" w:rsidR="00E24F39" w:rsidRPr="004B4833" w:rsidRDefault="00E24F39" w:rsidP="00E14986">
      <w:pPr>
        <w:pStyle w:val="Chartright-SourcesNotes"/>
      </w:pPr>
      <w:r w:rsidRPr="004B4833">
        <w:t>Notes: Data are seasonally and working day-adjusted. Historical data may differ from the latest Eurostat publications owing to data releases after the cut-off date for the projections. The vertical line indicates the start of the projection horizon.</w:t>
      </w:r>
      <w:r>
        <w:t xml:space="preserve"> </w:t>
      </w:r>
      <w:r w:rsidRPr="00E138CC">
        <w:t xml:space="preserve">In panel </w:t>
      </w:r>
      <w:r>
        <w:t>a</w:t>
      </w:r>
      <w:r w:rsidRPr="00E138CC">
        <w:t>), carry-over effects relate to the impact on the annual average growth rate for year t due to growth up to the fourth quarter of year t-1.</w:t>
      </w:r>
    </w:p>
    <w:p w14:paraId="72BFCCC9" w14:textId="61E6A607" w:rsidR="00E24F39" w:rsidRPr="00C04725" w:rsidRDefault="00E24F39" w:rsidP="00AF7F42">
      <w:pPr>
        <w:pStyle w:val="Chartright-Heading"/>
      </w:pPr>
      <w:r w:rsidRPr="00C565B1">
        <w:rPr>
          <w:rStyle w:val="IntenseEmphasis"/>
        </w:rPr>
        <w:t xml:space="preserve">Table </w:t>
      </w:r>
      <w:r w:rsidRPr="00C565B1">
        <w:rPr>
          <w:rStyle w:val="IntenseEmphasis"/>
        </w:rPr>
        <w:fldChar w:fldCharType="begin"/>
      </w:r>
      <w:r w:rsidRPr="00C565B1">
        <w:rPr>
          <w:rStyle w:val="IntenseEmphasis"/>
        </w:rPr>
        <w:instrText xml:space="preserve"> SEQ Table \* ARABIC </w:instrText>
      </w:r>
      <w:r w:rsidRPr="00C565B1">
        <w:rPr>
          <w:rStyle w:val="IntenseEmphasis"/>
        </w:rPr>
        <w:fldChar w:fldCharType="separate"/>
      </w:r>
      <w:r w:rsidR="004D705B">
        <w:rPr>
          <w:rStyle w:val="IntenseEmphasis"/>
          <w:noProof/>
        </w:rPr>
        <w:t>2</w:t>
      </w:r>
      <w:r w:rsidRPr="00C565B1">
        <w:rPr>
          <w:rStyle w:val="IntenseEmphasis"/>
        </w:rPr>
        <w:fldChar w:fldCharType="end"/>
      </w:r>
      <w:r w:rsidRPr="00C04725">
        <w:br/>
        <w:t>Real GDP, trade and labour market projections</w:t>
      </w:r>
    </w:p>
    <w:p w14:paraId="4320409E" w14:textId="77777777" w:rsidR="00E24F39" w:rsidRPr="00BF6914" w:rsidRDefault="00E24F39" w:rsidP="00AF7F42">
      <w:pPr>
        <w:pStyle w:val="Chartright-Measure"/>
      </w:pPr>
      <w:r w:rsidRPr="00BF6914">
        <w:t>(annual percentage changes, unless otherwise indicated</w:t>
      </w:r>
      <w:r>
        <w:t>;</w:t>
      </w:r>
      <w:r w:rsidRPr="00BF6914">
        <w:t xml:space="preserve"> revisions in percentage points)</w:t>
      </w:r>
    </w:p>
    <w:tbl>
      <w:tblPr>
        <w:tblStyle w:val="Tablecentrealigned"/>
        <w:tblW w:w="0" w:type="auto"/>
        <w:tblLayout w:type="fixed"/>
        <w:tblLook w:val="06A0" w:firstRow="1" w:lastRow="0" w:firstColumn="1" w:lastColumn="0" w:noHBand="1" w:noVBand="1"/>
      </w:tblPr>
      <w:tblGrid>
        <w:gridCol w:w="2121"/>
        <w:gridCol w:w="627"/>
        <w:gridCol w:w="628"/>
        <w:gridCol w:w="628"/>
        <w:gridCol w:w="628"/>
        <w:gridCol w:w="628"/>
        <w:gridCol w:w="628"/>
        <w:gridCol w:w="628"/>
        <w:gridCol w:w="628"/>
      </w:tblGrid>
      <w:tr w:rsidR="00EC3905" w:rsidRPr="002F6A05" w14:paraId="21A17A01" w14:textId="77777777" w:rsidTr="00596C4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121" w:type="dxa"/>
            <w:vMerge w:val="restart"/>
            <w:noWrap/>
            <w:hideMark/>
          </w:tcPr>
          <w:p w14:paraId="475BC224" w14:textId="22978930" w:rsidR="00EC3905" w:rsidRPr="00EC3905" w:rsidRDefault="00EC3905" w:rsidP="00EC3905">
            <w:pPr>
              <w:pStyle w:val="Tabletext"/>
              <w:rPr>
                <w:b w:val="0"/>
              </w:rPr>
            </w:pPr>
            <w:r w:rsidRPr="002F6A05">
              <w:t> </w:t>
            </w:r>
          </w:p>
        </w:tc>
        <w:tc>
          <w:tcPr>
            <w:tcW w:w="2511" w:type="dxa"/>
            <w:gridSpan w:val="4"/>
            <w:noWrap/>
            <w:hideMark/>
          </w:tcPr>
          <w:p w14:paraId="2633C9A1"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March 2026</w:t>
            </w:r>
          </w:p>
        </w:tc>
        <w:tc>
          <w:tcPr>
            <w:tcW w:w="2512" w:type="dxa"/>
            <w:gridSpan w:val="4"/>
            <w:noWrap/>
            <w:hideMark/>
          </w:tcPr>
          <w:p w14:paraId="2BCAE434"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Revisions vs December 2025</w:t>
            </w:r>
          </w:p>
        </w:tc>
      </w:tr>
      <w:tr w:rsidR="00EC3905" w:rsidRPr="002F6A05" w14:paraId="5A76EB1C" w14:textId="77777777" w:rsidTr="00596C4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121" w:type="dxa"/>
            <w:vMerge/>
            <w:noWrap/>
            <w:hideMark/>
          </w:tcPr>
          <w:p w14:paraId="4AD24D68" w14:textId="18AA1EBB" w:rsidR="00EC3905" w:rsidRPr="002F6A05" w:rsidRDefault="00EC3905" w:rsidP="00596C48">
            <w:pPr>
              <w:pStyle w:val="Tabletext"/>
            </w:pPr>
          </w:p>
        </w:tc>
        <w:tc>
          <w:tcPr>
            <w:tcW w:w="627" w:type="dxa"/>
            <w:noWrap/>
            <w:hideMark/>
          </w:tcPr>
          <w:p w14:paraId="00F06ED8"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2025</w:t>
            </w:r>
          </w:p>
        </w:tc>
        <w:tc>
          <w:tcPr>
            <w:tcW w:w="628" w:type="dxa"/>
            <w:noWrap/>
            <w:hideMark/>
          </w:tcPr>
          <w:p w14:paraId="22D902B4"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2026</w:t>
            </w:r>
          </w:p>
        </w:tc>
        <w:tc>
          <w:tcPr>
            <w:tcW w:w="628" w:type="dxa"/>
            <w:noWrap/>
            <w:hideMark/>
          </w:tcPr>
          <w:p w14:paraId="7A4969A3"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2027</w:t>
            </w:r>
          </w:p>
        </w:tc>
        <w:tc>
          <w:tcPr>
            <w:tcW w:w="628" w:type="dxa"/>
            <w:noWrap/>
            <w:hideMark/>
          </w:tcPr>
          <w:p w14:paraId="6D668B09"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2028</w:t>
            </w:r>
          </w:p>
        </w:tc>
        <w:tc>
          <w:tcPr>
            <w:tcW w:w="628" w:type="dxa"/>
            <w:noWrap/>
            <w:hideMark/>
          </w:tcPr>
          <w:p w14:paraId="11F0C166"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2025</w:t>
            </w:r>
          </w:p>
        </w:tc>
        <w:tc>
          <w:tcPr>
            <w:tcW w:w="628" w:type="dxa"/>
            <w:noWrap/>
            <w:hideMark/>
          </w:tcPr>
          <w:p w14:paraId="5C381389"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2026</w:t>
            </w:r>
          </w:p>
        </w:tc>
        <w:tc>
          <w:tcPr>
            <w:tcW w:w="628" w:type="dxa"/>
            <w:noWrap/>
            <w:hideMark/>
          </w:tcPr>
          <w:p w14:paraId="6E52526C"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2027</w:t>
            </w:r>
          </w:p>
        </w:tc>
        <w:tc>
          <w:tcPr>
            <w:tcW w:w="628" w:type="dxa"/>
            <w:noWrap/>
            <w:hideMark/>
          </w:tcPr>
          <w:p w14:paraId="6730E966" w14:textId="77777777" w:rsidR="00EC3905" w:rsidRPr="002F6A05" w:rsidRDefault="00EC3905" w:rsidP="00596C48">
            <w:pPr>
              <w:pStyle w:val="Tabletext"/>
              <w:cnfStyle w:val="100000000000" w:firstRow="1" w:lastRow="0" w:firstColumn="0" w:lastColumn="0" w:oddVBand="0" w:evenVBand="0" w:oddHBand="0" w:evenHBand="0" w:firstRowFirstColumn="0" w:firstRowLastColumn="0" w:lastRowFirstColumn="0" w:lastRowLastColumn="0"/>
            </w:pPr>
            <w:r w:rsidRPr="002F6A05">
              <w:t>2028</w:t>
            </w:r>
          </w:p>
        </w:tc>
      </w:tr>
      <w:tr w:rsidR="00E24F39" w:rsidRPr="002F6A05" w14:paraId="5ABD528E"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003299"/>
              <w:bottom w:val="single" w:sz="4" w:space="0" w:color="003299"/>
            </w:tcBorders>
            <w:noWrap/>
            <w:hideMark/>
          </w:tcPr>
          <w:p w14:paraId="1F267115" w14:textId="77777777" w:rsidR="00E24F39" w:rsidRPr="00C7266F" w:rsidRDefault="00E24F39" w:rsidP="00596C48">
            <w:pPr>
              <w:pStyle w:val="Tabletext"/>
            </w:pPr>
            <w:r w:rsidRPr="00C7266F">
              <w:t>Real GDP</w:t>
            </w:r>
          </w:p>
        </w:tc>
        <w:tc>
          <w:tcPr>
            <w:tcW w:w="627" w:type="dxa"/>
            <w:tcBorders>
              <w:top w:val="single" w:sz="4" w:space="0" w:color="003299"/>
              <w:bottom w:val="single" w:sz="4" w:space="0" w:color="003299"/>
            </w:tcBorders>
            <w:noWrap/>
            <w:hideMark/>
          </w:tcPr>
          <w:p w14:paraId="20CCF94A"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1.5</w:t>
            </w:r>
          </w:p>
        </w:tc>
        <w:tc>
          <w:tcPr>
            <w:tcW w:w="628" w:type="dxa"/>
            <w:tcBorders>
              <w:top w:val="single" w:sz="4" w:space="0" w:color="003299"/>
              <w:bottom w:val="single" w:sz="4" w:space="0" w:color="003299"/>
            </w:tcBorders>
            <w:noWrap/>
            <w:hideMark/>
          </w:tcPr>
          <w:p w14:paraId="72844A5F"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0.9</w:t>
            </w:r>
          </w:p>
        </w:tc>
        <w:tc>
          <w:tcPr>
            <w:tcW w:w="628" w:type="dxa"/>
            <w:tcBorders>
              <w:top w:val="single" w:sz="4" w:space="0" w:color="003299"/>
              <w:bottom w:val="single" w:sz="4" w:space="0" w:color="003299"/>
            </w:tcBorders>
            <w:noWrap/>
            <w:hideMark/>
          </w:tcPr>
          <w:p w14:paraId="58260B15"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1.3</w:t>
            </w:r>
          </w:p>
        </w:tc>
        <w:tc>
          <w:tcPr>
            <w:tcW w:w="628" w:type="dxa"/>
            <w:tcBorders>
              <w:top w:val="single" w:sz="4" w:space="0" w:color="003299"/>
              <w:bottom w:val="single" w:sz="4" w:space="0" w:color="003299"/>
              <w:right w:val="single" w:sz="4" w:space="0" w:color="003299"/>
            </w:tcBorders>
            <w:noWrap/>
            <w:hideMark/>
          </w:tcPr>
          <w:p w14:paraId="4684061C"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1.4</w:t>
            </w:r>
          </w:p>
        </w:tc>
        <w:tc>
          <w:tcPr>
            <w:tcW w:w="628" w:type="dxa"/>
            <w:tcBorders>
              <w:top w:val="single" w:sz="4" w:space="0" w:color="003299"/>
              <w:left w:val="single" w:sz="4" w:space="0" w:color="003299"/>
              <w:bottom w:val="single" w:sz="4" w:space="0" w:color="003299"/>
            </w:tcBorders>
            <w:noWrap/>
            <w:hideMark/>
          </w:tcPr>
          <w:p w14:paraId="51EB4613"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tcBorders>
              <w:top w:val="single" w:sz="4" w:space="0" w:color="003299"/>
              <w:bottom w:val="single" w:sz="4" w:space="0" w:color="003299"/>
            </w:tcBorders>
            <w:noWrap/>
            <w:hideMark/>
          </w:tcPr>
          <w:p w14:paraId="49EC21F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-0.3</w:t>
            </w:r>
          </w:p>
        </w:tc>
        <w:tc>
          <w:tcPr>
            <w:tcW w:w="628" w:type="dxa"/>
            <w:tcBorders>
              <w:top w:val="single" w:sz="4" w:space="0" w:color="003299"/>
              <w:bottom w:val="single" w:sz="4" w:space="0" w:color="003299"/>
            </w:tcBorders>
            <w:noWrap/>
            <w:hideMark/>
          </w:tcPr>
          <w:p w14:paraId="02DEE8A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tcBorders>
              <w:top w:val="single" w:sz="4" w:space="0" w:color="003299"/>
              <w:bottom w:val="single" w:sz="4" w:space="0" w:color="003299"/>
            </w:tcBorders>
            <w:noWrap/>
            <w:hideMark/>
          </w:tcPr>
          <w:p w14:paraId="3C8F264E"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r>
      <w:tr w:rsidR="00E24F39" w:rsidRPr="002F6A05" w14:paraId="59424EC8"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003299"/>
            </w:tcBorders>
            <w:noWrap/>
            <w:hideMark/>
          </w:tcPr>
          <w:p w14:paraId="2C1508B9" w14:textId="77777777" w:rsidR="00E24F39" w:rsidRPr="00C7266F" w:rsidRDefault="00E24F39" w:rsidP="00596C48">
            <w:pPr>
              <w:pStyle w:val="Tabletext"/>
            </w:pPr>
            <w:r w:rsidRPr="00C7266F">
              <w:t>Private consumption</w:t>
            </w:r>
          </w:p>
        </w:tc>
        <w:tc>
          <w:tcPr>
            <w:tcW w:w="627" w:type="dxa"/>
            <w:tcBorders>
              <w:top w:val="single" w:sz="4" w:space="0" w:color="003299"/>
            </w:tcBorders>
            <w:noWrap/>
            <w:hideMark/>
          </w:tcPr>
          <w:p w14:paraId="3DFC73B4"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1.6</w:t>
            </w:r>
          </w:p>
        </w:tc>
        <w:tc>
          <w:tcPr>
            <w:tcW w:w="628" w:type="dxa"/>
            <w:tcBorders>
              <w:top w:val="single" w:sz="4" w:space="0" w:color="003299"/>
            </w:tcBorders>
            <w:noWrap/>
            <w:hideMark/>
          </w:tcPr>
          <w:p w14:paraId="18EF99B5"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1.0</w:t>
            </w:r>
          </w:p>
        </w:tc>
        <w:tc>
          <w:tcPr>
            <w:tcW w:w="628" w:type="dxa"/>
            <w:tcBorders>
              <w:top w:val="single" w:sz="4" w:space="0" w:color="003299"/>
            </w:tcBorders>
            <w:noWrap/>
            <w:hideMark/>
          </w:tcPr>
          <w:p w14:paraId="3AE87C03"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1.1</w:t>
            </w:r>
          </w:p>
        </w:tc>
        <w:tc>
          <w:tcPr>
            <w:tcW w:w="628" w:type="dxa"/>
            <w:tcBorders>
              <w:top w:val="single" w:sz="4" w:space="0" w:color="003299"/>
              <w:right w:val="single" w:sz="4" w:space="0" w:color="003299"/>
            </w:tcBorders>
            <w:noWrap/>
            <w:hideMark/>
          </w:tcPr>
          <w:p w14:paraId="03EA4EF8"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1.2</w:t>
            </w:r>
          </w:p>
        </w:tc>
        <w:tc>
          <w:tcPr>
            <w:tcW w:w="628" w:type="dxa"/>
            <w:tcBorders>
              <w:top w:val="single" w:sz="4" w:space="0" w:color="003299"/>
              <w:left w:val="single" w:sz="4" w:space="0" w:color="003299"/>
            </w:tcBorders>
            <w:noWrap/>
            <w:hideMark/>
          </w:tcPr>
          <w:p w14:paraId="4EE42555"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0.3</w:t>
            </w:r>
          </w:p>
        </w:tc>
        <w:tc>
          <w:tcPr>
            <w:tcW w:w="628" w:type="dxa"/>
            <w:tcBorders>
              <w:top w:val="single" w:sz="4" w:space="0" w:color="003299"/>
            </w:tcBorders>
            <w:noWrap/>
            <w:hideMark/>
          </w:tcPr>
          <w:p w14:paraId="21791249"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-0.2</w:t>
            </w:r>
          </w:p>
        </w:tc>
        <w:tc>
          <w:tcPr>
            <w:tcW w:w="628" w:type="dxa"/>
            <w:tcBorders>
              <w:top w:val="single" w:sz="4" w:space="0" w:color="003299"/>
            </w:tcBorders>
            <w:noWrap/>
            <w:hideMark/>
          </w:tcPr>
          <w:p w14:paraId="3CBF3D48"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-0.2</w:t>
            </w:r>
          </w:p>
        </w:tc>
        <w:tc>
          <w:tcPr>
            <w:tcW w:w="628" w:type="dxa"/>
            <w:tcBorders>
              <w:top w:val="single" w:sz="4" w:space="0" w:color="003299"/>
            </w:tcBorders>
            <w:noWrap/>
            <w:hideMark/>
          </w:tcPr>
          <w:p w14:paraId="0F9EC6EE"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r>
      <w:tr w:rsidR="00E24F39" w:rsidRPr="002F6A05" w14:paraId="6254C6B5"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FD542F1" w14:textId="77777777" w:rsidR="00E24F39" w:rsidRPr="00C7266F" w:rsidRDefault="00E24F39" w:rsidP="00596C48">
            <w:pPr>
              <w:pStyle w:val="Tabletext"/>
            </w:pPr>
            <w:r w:rsidRPr="00C7266F">
              <w:t>Government consumption</w:t>
            </w:r>
          </w:p>
        </w:tc>
        <w:tc>
          <w:tcPr>
            <w:tcW w:w="627" w:type="dxa"/>
            <w:noWrap/>
            <w:hideMark/>
          </w:tcPr>
          <w:p w14:paraId="13761429"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1.6</w:t>
            </w:r>
          </w:p>
        </w:tc>
        <w:tc>
          <w:tcPr>
            <w:tcW w:w="628" w:type="dxa"/>
            <w:noWrap/>
            <w:hideMark/>
          </w:tcPr>
          <w:p w14:paraId="33F01EFE"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1.8</w:t>
            </w:r>
          </w:p>
        </w:tc>
        <w:tc>
          <w:tcPr>
            <w:tcW w:w="628" w:type="dxa"/>
            <w:noWrap/>
            <w:hideMark/>
          </w:tcPr>
          <w:p w14:paraId="1DE1D5A9"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1.1</w:t>
            </w:r>
          </w:p>
        </w:tc>
        <w:tc>
          <w:tcPr>
            <w:tcW w:w="628" w:type="dxa"/>
            <w:tcBorders>
              <w:right w:val="single" w:sz="4" w:space="0" w:color="003299"/>
            </w:tcBorders>
            <w:noWrap/>
            <w:hideMark/>
          </w:tcPr>
          <w:p w14:paraId="7BCE70A2"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1.3</w:t>
            </w:r>
          </w:p>
        </w:tc>
        <w:tc>
          <w:tcPr>
            <w:tcW w:w="628" w:type="dxa"/>
            <w:tcBorders>
              <w:left w:val="single" w:sz="4" w:space="0" w:color="003299"/>
            </w:tcBorders>
            <w:noWrap/>
            <w:hideMark/>
          </w:tcPr>
          <w:p w14:paraId="39C3F88E"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-0.2</w:t>
            </w:r>
          </w:p>
        </w:tc>
        <w:tc>
          <w:tcPr>
            <w:tcW w:w="628" w:type="dxa"/>
            <w:noWrap/>
            <w:hideMark/>
          </w:tcPr>
          <w:p w14:paraId="2E23233F"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0.3</w:t>
            </w:r>
          </w:p>
        </w:tc>
        <w:tc>
          <w:tcPr>
            <w:tcW w:w="628" w:type="dxa"/>
            <w:noWrap/>
            <w:hideMark/>
          </w:tcPr>
          <w:p w14:paraId="150C028E"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c>
          <w:tcPr>
            <w:tcW w:w="628" w:type="dxa"/>
            <w:noWrap/>
            <w:hideMark/>
          </w:tcPr>
          <w:p w14:paraId="08CAACD3"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r>
      <w:tr w:rsidR="00E24F39" w:rsidRPr="002F6A05" w14:paraId="7DE95DC9"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121" w:type="dxa"/>
            <w:noWrap/>
            <w:hideMark/>
          </w:tcPr>
          <w:p w14:paraId="69580676" w14:textId="77777777" w:rsidR="00E24F39" w:rsidRPr="00C7266F" w:rsidRDefault="00E24F39" w:rsidP="00596C48">
            <w:pPr>
              <w:pStyle w:val="Tabletext"/>
            </w:pPr>
            <w:r w:rsidRPr="00C7266F">
              <w:t>Investment</w:t>
            </w:r>
          </w:p>
        </w:tc>
        <w:tc>
          <w:tcPr>
            <w:tcW w:w="627" w:type="dxa"/>
            <w:noWrap/>
            <w:hideMark/>
          </w:tcPr>
          <w:p w14:paraId="70FCCE9B"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3.1</w:t>
            </w:r>
          </w:p>
        </w:tc>
        <w:tc>
          <w:tcPr>
            <w:tcW w:w="628" w:type="dxa"/>
            <w:noWrap/>
            <w:hideMark/>
          </w:tcPr>
          <w:p w14:paraId="2D8F062C"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1.9</w:t>
            </w:r>
          </w:p>
        </w:tc>
        <w:tc>
          <w:tcPr>
            <w:tcW w:w="628" w:type="dxa"/>
            <w:noWrap/>
            <w:hideMark/>
          </w:tcPr>
          <w:p w14:paraId="62EC952F"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1.7</w:t>
            </w:r>
          </w:p>
        </w:tc>
        <w:tc>
          <w:tcPr>
            <w:tcW w:w="628" w:type="dxa"/>
            <w:tcBorders>
              <w:right w:val="single" w:sz="4" w:space="0" w:color="003299"/>
            </w:tcBorders>
            <w:noWrap/>
            <w:hideMark/>
          </w:tcPr>
          <w:p w14:paraId="292405B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2.1</w:t>
            </w:r>
          </w:p>
        </w:tc>
        <w:tc>
          <w:tcPr>
            <w:tcW w:w="628" w:type="dxa"/>
            <w:tcBorders>
              <w:left w:val="single" w:sz="4" w:space="0" w:color="003299"/>
            </w:tcBorders>
            <w:noWrap/>
            <w:hideMark/>
          </w:tcPr>
          <w:p w14:paraId="65FB141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0.7</w:t>
            </w:r>
          </w:p>
        </w:tc>
        <w:tc>
          <w:tcPr>
            <w:tcW w:w="628" w:type="dxa"/>
            <w:noWrap/>
            <w:hideMark/>
          </w:tcPr>
          <w:p w14:paraId="6C3DB5ED"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-0.3</w:t>
            </w:r>
          </w:p>
        </w:tc>
        <w:tc>
          <w:tcPr>
            <w:tcW w:w="628" w:type="dxa"/>
            <w:noWrap/>
            <w:hideMark/>
          </w:tcPr>
          <w:p w14:paraId="1679389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-0.7</w:t>
            </w:r>
          </w:p>
        </w:tc>
        <w:tc>
          <w:tcPr>
            <w:tcW w:w="628" w:type="dxa"/>
            <w:noWrap/>
            <w:hideMark/>
          </w:tcPr>
          <w:p w14:paraId="437BC2B4"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r>
      <w:tr w:rsidR="00E24F39" w:rsidRPr="002F6A05" w14:paraId="26B1CC02" w14:textId="77777777" w:rsidTr="00596C48">
        <w:trPr>
          <w:trHeight w:val="270"/>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CBFE585" w14:textId="77777777" w:rsidR="00E24F39" w:rsidRPr="00C7266F" w:rsidRDefault="00E24F39" w:rsidP="00596C48">
            <w:pPr>
              <w:pStyle w:val="Tabletext"/>
            </w:pPr>
            <w:r w:rsidRPr="00C7266F">
              <w:t>Exports</w:t>
            </w:r>
            <w:r w:rsidRPr="00FB1B33">
              <w:rPr>
                <w:rStyle w:val="FootnoteReference"/>
              </w:rPr>
              <w:t>1)</w:t>
            </w:r>
          </w:p>
        </w:tc>
        <w:tc>
          <w:tcPr>
            <w:tcW w:w="627" w:type="dxa"/>
            <w:noWrap/>
            <w:hideMark/>
          </w:tcPr>
          <w:p w14:paraId="68D5291B"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2.1</w:t>
            </w:r>
          </w:p>
        </w:tc>
        <w:tc>
          <w:tcPr>
            <w:tcW w:w="628" w:type="dxa"/>
            <w:noWrap/>
            <w:hideMark/>
          </w:tcPr>
          <w:p w14:paraId="5496F282"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1.2</w:t>
            </w:r>
          </w:p>
        </w:tc>
        <w:tc>
          <w:tcPr>
            <w:tcW w:w="628" w:type="dxa"/>
            <w:noWrap/>
            <w:hideMark/>
          </w:tcPr>
          <w:p w14:paraId="3DE24F2D"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2.4</w:t>
            </w:r>
          </w:p>
        </w:tc>
        <w:tc>
          <w:tcPr>
            <w:tcW w:w="628" w:type="dxa"/>
            <w:tcBorders>
              <w:right w:val="single" w:sz="4" w:space="0" w:color="003299"/>
            </w:tcBorders>
            <w:noWrap/>
            <w:hideMark/>
          </w:tcPr>
          <w:p w14:paraId="2E04450B"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2.8</w:t>
            </w:r>
          </w:p>
        </w:tc>
        <w:tc>
          <w:tcPr>
            <w:tcW w:w="628" w:type="dxa"/>
            <w:tcBorders>
              <w:left w:val="single" w:sz="4" w:space="0" w:color="003299"/>
            </w:tcBorders>
            <w:noWrap/>
            <w:hideMark/>
          </w:tcPr>
          <w:p w14:paraId="74D98CB6"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0.2</w:t>
            </w:r>
          </w:p>
        </w:tc>
        <w:tc>
          <w:tcPr>
            <w:tcW w:w="628" w:type="dxa"/>
            <w:noWrap/>
            <w:hideMark/>
          </w:tcPr>
          <w:p w14:paraId="58F81A87"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-0.4</w:t>
            </w:r>
          </w:p>
        </w:tc>
        <w:tc>
          <w:tcPr>
            <w:tcW w:w="628" w:type="dxa"/>
            <w:noWrap/>
            <w:hideMark/>
          </w:tcPr>
          <w:p w14:paraId="411E82FC"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c>
          <w:tcPr>
            <w:tcW w:w="628" w:type="dxa"/>
            <w:noWrap/>
            <w:hideMark/>
          </w:tcPr>
          <w:p w14:paraId="4A93E47F"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0.2</w:t>
            </w:r>
          </w:p>
        </w:tc>
      </w:tr>
      <w:tr w:rsidR="00E24F39" w:rsidRPr="002F6A05" w14:paraId="2E0606BA" w14:textId="77777777" w:rsidTr="00596C48">
        <w:trPr>
          <w:trHeight w:val="270"/>
        </w:trPr>
        <w:tc>
          <w:tcPr>
            <w:cnfStyle w:val="001000000000" w:firstRow="0" w:lastRow="0" w:firstColumn="1" w:lastColumn="0" w:oddVBand="0" w:evenVBand="0" w:oddHBand="0" w:evenHBand="0" w:firstRowFirstColumn="0" w:firstRowLastColumn="0" w:lastRowFirstColumn="0" w:lastRowLastColumn="0"/>
            <w:tcW w:w="2121" w:type="dxa"/>
            <w:noWrap/>
            <w:hideMark/>
          </w:tcPr>
          <w:p w14:paraId="0DEC2379" w14:textId="77777777" w:rsidR="00E24F39" w:rsidRPr="00C7266F" w:rsidRDefault="00E24F39" w:rsidP="00596C48">
            <w:pPr>
              <w:pStyle w:val="Tabletext"/>
            </w:pPr>
            <w:r w:rsidRPr="00C7266F">
              <w:t>Imports</w:t>
            </w:r>
            <w:r w:rsidRPr="00FB1B33">
              <w:rPr>
                <w:rStyle w:val="FootnoteReference"/>
              </w:rPr>
              <w:t>1)</w:t>
            </w:r>
          </w:p>
        </w:tc>
        <w:tc>
          <w:tcPr>
            <w:tcW w:w="627" w:type="dxa"/>
            <w:noWrap/>
            <w:hideMark/>
          </w:tcPr>
          <w:p w14:paraId="37199C05"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3.7</w:t>
            </w:r>
          </w:p>
        </w:tc>
        <w:tc>
          <w:tcPr>
            <w:tcW w:w="628" w:type="dxa"/>
            <w:noWrap/>
            <w:hideMark/>
          </w:tcPr>
          <w:p w14:paraId="6C833518"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2.0</w:t>
            </w:r>
          </w:p>
        </w:tc>
        <w:tc>
          <w:tcPr>
            <w:tcW w:w="628" w:type="dxa"/>
            <w:noWrap/>
            <w:hideMark/>
          </w:tcPr>
          <w:p w14:paraId="0098CC4A"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2.4</w:t>
            </w:r>
          </w:p>
        </w:tc>
        <w:tc>
          <w:tcPr>
            <w:tcW w:w="628" w:type="dxa"/>
            <w:tcBorders>
              <w:right w:val="single" w:sz="4" w:space="0" w:color="003299"/>
            </w:tcBorders>
            <w:noWrap/>
            <w:hideMark/>
          </w:tcPr>
          <w:p w14:paraId="00E1DC06"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2.9</w:t>
            </w:r>
          </w:p>
        </w:tc>
        <w:tc>
          <w:tcPr>
            <w:tcW w:w="628" w:type="dxa"/>
            <w:tcBorders>
              <w:left w:val="single" w:sz="4" w:space="0" w:color="003299"/>
            </w:tcBorders>
            <w:noWrap/>
            <w:hideMark/>
          </w:tcPr>
          <w:p w14:paraId="73C27AF0"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0.5</w:t>
            </w:r>
          </w:p>
        </w:tc>
        <w:tc>
          <w:tcPr>
            <w:tcW w:w="628" w:type="dxa"/>
            <w:noWrap/>
            <w:hideMark/>
          </w:tcPr>
          <w:p w14:paraId="06F34DB3"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-0.3</w:t>
            </w:r>
          </w:p>
        </w:tc>
        <w:tc>
          <w:tcPr>
            <w:tcW w:w="628" w:type="dxa"/>
            <w:noWrap/>
            <w:hideMark/>
          </w:tcPr>
          <w:p w14:paraId="3EF88499"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-0.3</w:t>
            </w:r>
          </w:p>
        </w:tc>
        <w:tc>
          <w:tcPr>
            <w:tcW w:w="628" w:type="dxa"/>
            <w:noWrap/>
            <w:hideMark/>
          </w:tcPr>
          <w:p w14:paraId="5F03C0BD"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r>
      <w:tr w:rsidR="00E24F39" w:rsidRPr="002F6A05" w14:paraId="60C27B7C" w14:textId="77777777" w:rsidTr="00596C48">
        <w:trPr>
          <w:trHeight w:val="315"/>
        </w:trPr>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003299"/>
            </w:tcBorders>
            <w:noWrap/>
            <w:hideMark/>
          </w:tcPr>
          <w:p w14:paraId="383CCEE9" w14:textId="77777777" w:rsidR="00E24F39" w:rsidRPr="00C7266F" w:rsidRDefault="00E24F39" w:rsidP="00596C48">
            <w:pPr>
              <w:pStyle w:val="Tabletext"/>
            </w:pPr>
            <w:r w:rsidRPr="00C7266F">
              <w:t>Contribution to GDP from:</w:t>
            </w:r>
          </w:p>
        </w:tc>
        <w:tc>
          <w:tcPr>
            <w:tcW w:w="627" w:type="dxa"/>
            <w:tcBorders>
              <w:top w:val="single" w:sz="4" w:space="0" w:color="003299"/>
            </w:tcBorders>
            <w:noWrap/>
            <w:hideMark/>
          </w:tcPr>
          <w:p w14:paraId="0FDA831C"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p>
        </w:tc>
        <w:tc>
          <w:tcPr>
            <w:tcW w:w="628" w:type="dxa"/>
            <w:tcBorders>
              <w:top w:val="single" w:sz="4" w:space="0" w:color="003299"/>
            </w:tcBorders>
            <w:noWrap/>
            <w:hideMark/>
          </w:tcPr>
          <w:p w14:paraId="4CE4811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p>
        </w:tc>
        <w:tc>
          <w:tcPr>
            <w:tcW w:w="628" w:type="dxa"/>
            <w:tcBorders>
              <w:top w:val="single" w:sz="4" w:space="0" w:color="003299"/>
            </w:tcBorders>
            <w:noWrap/>
            <w:hideMark/>
          </w:tcPr>
          <w:p w14:paraId="75385658"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p>
        </w:tc>
        <w:tc>
          <w:tcPr>
            <w:tcW w:w="628" w:type="dxa"/>
            <w:tcBorders>
              <w:top w:val="single" w:sz="4" w:space="0" w:color="003299"/>
              <w:right w:val="single" w:sz="4" w:space="0" w:color="003299"/>
            </w:tcBorders>
            <w:noWrap/>
            <w:hideMark/>
          </w:tcPr>
          <w:p w14:paraId="0D5560C3"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p>
        </w:tc>
        <w:tc>
          <w:tcPr>
            <w:tcW w:w="628" w:type="dxa"/>
            <w:tcBorders>
              <w:top w:val="single" w:sz="4" w:space="0" w:color="003299"/>
              <w:left w:val="single" w:sz="4" w:space="0" w:color="003299"/>
            </w:tcBorders>
            <w:noWrap/>
            <w:hideMark/>
          </w:tcPr>
          <w:p w14:paraId="1F6DD6CF"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p>
        </w:tc>
        <w:tc>
          <w:tcPr>
            <w:tcW w:w="628" w:type="dxa"/>
            <w:tcBorders>
              <w:top w:val="single" w:sz="4" w:space="0" w:color="003299"/>
            </w:tcBorders>
            <w:noWrap/>
            <w:hideMark/>
          </w:tcPr>
          <w:p w14:paraId="53D67EFE"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p>
        </w:tc>
        <w:tc>
          <w:tcPr>
            <w:tcW w:w="628" w:type="dxa"/>
            <w:tcBorders>
              <w:top w:val="single" w:sz="4" w:space="0" w:color="003299"/>
            </w:tcBorders>
            <w:noWrap/>
            <w:hideMark/>
          </w:tcPr>
          <w:p w14:paraId="66D2AE2A"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p>
        </w:tc>
        <w:tc>
          <w:tcPr>
            <w:tcW w:w="628" w:type="dxa"/>
            <w:tcBorders>
              <w:top w:val="single" w:sz="4" w:space="0" w:color="003299"/>
            </w:tcBorders>
            <w:noWrap/>
            <w:hideMark/>
          </w:tcPr>
          <w:p w14:paraId="3B705D92"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p>
        </w:tc>
      </w:tr>
      <w:tr w:rsidR="00E24F39" w:rsidRPr="002F6A05" w14:paraId="6EBD365C"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121" w:type="dxa"/>
            <w:noWrap/>
            <w:hideMark/>
          </w:tcPr>
          <w:p w14:paraId="20082EE6" w14:textId="77777777" w:rsidR="00E24F39" w:rsidRPr="00BA6E88" w:rsidRDefault="00E24F39" w:rsidP="00596C48">
            <w:pPr>
              <w:pStyle w:val="Tabletext"/>
              <w:rPr>
                <w:b w:val="0"/>
                <w:bCs/>
              </w:rPr>
            </w:pPr>
            <w:r w:rsidRPr="000E0AFE">
              <w:rPr>
                <w:bCs/>
              </w:rPr>
              <w:t>Domestic demand</w:t>
            </w:r>
          </w:p>
        </w:tc>
        <w:tc>
          <w:tcPr>
            <w:tcW w:w="627" w:type="dxa"/>
            <w:noWrap/>
            <w:hideMark/>
          </w:tcPr>
          <w:p w14:paraId="74FBE1C7"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1.8</w:t>
            </w:r>
          </w:p>
        </w:tc>
        <w:tc>
          <w:tcPr>
            <w:tcW w:w="628" w:type="dxa"/>
            <w:noWrap/>
            <w:hideMark/>
          </w:tcPr>
          <w:p w14:paraId="7E118048"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1.3</w:t>
            </w:r>
          </w:p>
        </w:tc>
        <w:tc>
          <w:tcPr>
            <w:tcW w:w="628" w:type="dxa"/>
            <w:noWrap/>
            <w:hideMark/>
          </w:tcPr>
          <w:p w14:paraId="0073471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1.2</w:t>
            </w:r>
          </w:p>
        </w:tc>
        <w:tc>
          <w:tcPr>
            <w:tcW w:w="628" w:type="dxa"/>
            <w:tcBorders>
              <w:right w:val="single" w:sz="4" w:space="0" w:color="003299"/>
            </w:tcBorders>
            <w:noWrap/>
            <w:hideMark/>
          </w:tcPr>
          <w:p w14:paraId="617A02DB"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1.3</w:t>
            </w:r>
          </w:p>
        </w:tc>
        <w:tc>
          <w:tcPr>
            <w:tcW w:w="628" w:type="dxa"/>
            <w:tcBorders>
              <w:left w:val="single" w:sz="4" w:space="0" w:color="003299"/>
            </w:tcBorders>
            <w:noWrap/>
            <w:hideMark/>
          </w:tcPr>
          <w:p w14:paraId="20CC87CB"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0.2</w:t>
            </w:r>
          </w:p>
        </w:tc>
        <w:tc>
          <w:tcPr>
            <w:tcW w:w="628" w:type="dxa"/>
            <w:noWrap/>
            <w:hideMark/>
          </w:tcPr>
          <w:p w14:paraId="61823BD4"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noWrap/>
            <w:hideMark/>
          </w:tcPr>
          <w:p w14:paraId="5C3E1FFC"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-0.2</w:t>
            </w:r>
          </w:p>
        </w:tc>
        <w:tc>
          <w:tcPr>
            <w:tcW w:w="628" w:type="dxa"/>
            <w:noWrap/>
            <w:hideMark/>
          </w:tcPr>
          <w:p w14:paraId="565DFCEF"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r>
      <w:tr w:rsidR="00E24F39" w:rsidRPr="002F6A05" w14:paraId="3D0E290F"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121" w:type="dxa"/>
            <w:tcBorders>
              <w:bottom w:val="none" w:sz="0" w:space="0" w:color="auto"/>
            </w:tcBorders>
            <w:noWrap/>
            <w:hideMark/>
          </w:tcPr>
          <w:p w14:paraId="6BDB69F2" w14:textId="77777777" w:rsidR="00E24F39" w:rsidRPr="00BA6E88" w:rsidRDefault="00E24F39" w:rsidP="00596C48">
            <w:pPr>
              <w:pStyle w:val="Tabletext"/>
              <w:rPr>
                <w:b w:val="0"/>
                <w:bCs/>
              </w:rPr>
            </w:pPr>
            <w:r w:rsidRPr="000E0AFE">
              <w:rPr>
                <w:bCs/>
              </w:rPr>
              <w:t>Net exports</w:t>
            </w:r>
          </w:p>
        </w:tc>
        <w:tc>
          <w:tcPr>
            <w:tcW w:w="627" w:type="dxa"/>
            <w:noWrap/>
            <w:hideMark/>
          </w:tcPr>
          <w:p w14:paraId="5B7C52F0"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-0.6</w:t>
            </w:r>
          </w:p>
        </w:tc>
        <w:tc>
          <w:tcPr>
            <w:tcW w:w="628" w:type="dxa"/>
            <w:noWrap/>
            <w:hideMark/>
          </w:tcPr>
          <w:p w14:paraId="4B869BED"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-0.3</w:t>
            </w:r>
          </w:p>
        </w:tc>
        <w:tc>
          <w:tcPr>
            <w:tcW w:w="628" w:type="dxa"/>
            <w:noWrap/>
            <w:hideMark/>
          </w:tcPr>
          <w:p w14:paraId="0618ABAB"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tcBorders>
              <w:right w:val="single" w:sz="4" w:space="0" w:color="003299"/>
            </w:tcBorders>
            <w:noWrap/>
            <w:hideMark/>
          </w:tcPr>
          <w:p w14:paraId="7B7E670E"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c>
          <w:tcPr>
            <w:tcW w:w="628" w:type="dxa"/>
            <w:tcBorders>
              <w:left w:val="single" w:sz="4" w:space="0" w:color="003299"/>
            </w:tcBorders>
            <w:noWrap/>
            <w:hideMark/>
          </w:tcPr>
          <w:p w14:paraId="3B447D2C"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noWrap/>
            <w:hideMark/>
          </w:tcPr>
          <w:p w14:paraId="4D82C8D7"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c>
          <w:tcPr>
            <w:tcW w:w="628" w:type="dxa"/>
            <w:noWrap/>
            <w:hideMark/>
          </w:tcPr>
          <w:p w14:paraId="2D5FC15D"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noWrap/>
            <w:hideMark/>
          </w:tcPr>
          <w:p w14:paraId="4D89DDC8"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r>
      <w:tr w:rsidR="00E24F39" w:rsidRPr="002F6A05" w14:paraId="25DCE469"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121" w:type="dxa"/>
            <w:tcBorders>
              <w:bottom w:val="single" w:sz="4" w:space="0" w:color="003299"/>
            </w:tcBorders>
            <w:noWrap/>
            <w:hideMark/>
          </w:tcPr>
          <w:p w14:paraId="6349F166" w14:textId="77777777" w:rsidR="00E24F39" w:rsidRPr="00BA6E88" w:rsidRDefault="00E24F39" w:rsidP="00596C48">
            <w:pPr>
              <w:pStyle w:val="Tabletext"/>
              <w:rPr>
                <w:b w:val="0"/>
                <w:bCs/>
              </w:rPr>
            </w:pPr>
            <w:r w:rsidRPr="000E0AFE">
              <w:rPr>
                <w:bCs/>
              </w:rPr>
              <w:t>Inventory changes</w:t>
            </w:r>
          </w:p>
        </w:tc>
        <w:tc>
          <w:tcPr>
            <w:tcW w:w="627" w:type="dxa"/>
            <w:tcBorders>
              <w:bottom w:val="single" w:sz="4" w:space="0" w:color="003299"/>
            </w:tcBorders>
            <w:noWrap/>
            <w:hideMark/>
          </w:tcPr>
          <w:p w14:paraId="26BEC4CD"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0.3</w:t>
            </w:r>
          </w:p>
        </w:tc>
        <w:tc>
          <w:tcPr>
            <w:tcW w:w="628" w:type="dxa"/>
            <w:tcBorders>
              <w:bottom w:val="single" w:sz="4" w:space="0" w:color="003299"/>
            </w:tcBorders>
            <w:noWrap/>
            <w:hideMark/>
          </w:tcPr>
          <w:p w14:paraId="7F90B1C7"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tcBorders>
              <w:bottom w:val="single" w:sz="4" w:space="0" w:color="003299"/>
            </w:tcBorders>
            <w:noWrap/>
            <w:hideMark/>
          </w:tcPr>
          <w:p w14:paraId="6D01202B"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c>
          <w:tcPr>
            <w:tcW w:w="628" w:type="dxa"/>
            <w:tcBorders>
              <w:bottom w:val="single" w:sz="4" w:space="0" w:color="003299"/>
              <w:right w:val="single" w:sz="4" w:space="0" w:color="003299"/>
            </w:tcBorders>
            <w:noWrap/>
            <w:hideMark/>
          </w:tcPr>
          <w:p w14:paraId="5F3BFBA5"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c>
          <w:tcPr>
            <w:tcW w:w="628" w:type="dxa"/>
            <w:tcBorders>
              <w:left w:val="single" w:sz="4" w:space="0" w:color="003299"/>
              <w:bottom w:val="single" w:sz="4" w:space="0" w:color="003299"/>
            </w:tcBorders>
            <w:noWrap/>
            <w:hideMark/>
          </w:tcPr>
          <w:p w14:paraId="1B31C3AF"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tcBorders>
              <w:bottom w:val="single" w:sz="4" w:space="0" w:color="003299"/>
            </w:tcBorders>
            <w:noWrap/>
            <w:hideMark/>
          </w:tcPr>
          <w:p w14:paraId="5F2CC2C6"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tcBorders>
              <w:bottom w:val="single" w:sz="4" w:space="0" w:color="003299"/>
            </w:tcBorders>
            <w:noWrap/>
            <w:hideMark/>
          </w:tcPr>
          <w:p w14:paraId="53391A98"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c>
          <w:tcPr>
            <w:tcW w:w="628" w:type="dxa"/>
            <w:tcBorders>
              <w:bottom w:val="single" w:sz="4" w:space="0" w:color="003299"/>
            </w:tcBorders>
            <w:noWrap/>
            <w:hideMark/>
          </w:tcPr>
          <w:p w14:paraId="50BE0BF0"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r>
      <w:tr w:rsidR="00E24F39" w:rsidRPr="002F6A05" w14:paraId="2964B440" w14:textId="77777777" w:rsidTr="00596C48">
        <w:trPr>
          <w:trHeight w:val="270"/>
        </w:trPr>
        <w:tc>
          <w:tcPr>
            <w:cnfStyle w:val="001000000000" w:firstRow="0" w:lastRow="0" w:firstColumn="1" w:lastColumn="0" w:oddVBand="0" w:evenVBand="0" w:oddHBand="0" w:evenHBand="0" w:firstRowFirstColumn="0" w:firstRowLastColumn="0" w:lastRowFirstColumn="0" w:lastRowLastColumn="0"/>
            <w:tcW w:w="2121" w:type="dxa"/>
            <w:tcBorders>
              <w:top w:val="single" w:sz="4" w:space="0" w:color="003299"/>
            </w:tcBorders>
            <w:noWrap/>
            <w:hideMark/>
          </w:tcPr>
          <w:p w14:paraId="26334B0A" w14:textId="77777777" w:rsidR="00E24F39" w:rsidRPr="00C7266F" w:rsidRDefault="00E24F39" w:rsidP="00596C48">
            <w:pPr>
              <w:pStyle w:val="Tabletext"/>
            </w:pPr>
            <w:r w:rsidRPr="00C7266F">
              <w:t>Employment</w:t>
            </w:r>
            <w:r>
              <w:rPr>
                <w:vertAlign w:val="superscript"/>
              </w:rPr>
              <w:t>2</w:t>
            </w:r>
            <w:r w:rsidRPr="00FB1B33">
              <w:rPr>
                <w:rStyle w:val="FootnoteReference"/>
              </w:rPr>
              <w:t>)</w:t>
            </w:r>
          </w:p>
        </w:tc>
        <w:tc>
          <w:tcPr>
            <w:tcW w:w="627" w:type="dxa"/>
            <w:tcBorders>
              <w:top w:val="single" w:sz="4" w:space="0" w:color="003299"/>
            </w:tcBorders>
            <w:noWrap/>
            <w:hideMark/>
          </w:tcPr>
          <w:p w14:paraId="18D28FA2"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0.7</w:t>
            </w:r>
          </w:p>
        </w:tc>
        <w:tc>
          <w:tcPr>
            <w:tcW w:w="628" w:type="dxa"/>
            <w:tcBorders>
              <w:top w:val="single" w:sz="4" w:space="0" w:color="003299"/>
            </w:tcBorders>
            <w:noWrap/>
            <w:hideMark/>
          </w:tcPr>
          <w:p w14:paraId="60DCFAE3"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0.5</w:t>
            </w:r>
          </w:p>
        </w:tc>
        <w:tc>
          <w:tcPr>
            <w:tcW w:w="628" w:type="dxa"/>
            <w:tcBorders>
              <w:top w:val="single" w:sz="4" w:space="0" w:color="003299"/>
            </w:tcBorders>
            <w:noWrap/>
            <w:hideMark/>
          </w:tcPr>
          <w:p w14:paraId="1891C9C8"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0.4</w:t>
            </w:r>
          </w:p>
        </w:tc>
        <w:tc>
          <w:tcPr>
            <w:tcW w:w="628" w:type="dxa"/>
            <w:tcBorders>
              <w:top w:val="single" w:sz="4" w:space="0" w:color="003299"/>
              <w:right w:val="single" w:sz="4" w:space="0" w:color="003299"/>
            </w:tcBorders>
            <w:noWrap/>
            <w:hideMark/>
          </w:tcPr>
          <w:p w14:paraId="2BF6C60A"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0.4</w:t>
            </w:r>
          </w:p>
        </w:tc>
        <w:tc>
          <w:tcPr>
            <w:tcW w:w="628" w:type="dxa"/>
            <w:tcBorders>
              <w:top w:val="single" w:sz="4" w:space="0" w:color="003299"/>
              <w:left w:val="single" w:sz="4" w:space="0" w:color="003299"/>
            </w:tcBorders>
            <w:noWrap/>
            <w:hideMark/>
          </w:tcPr>
          <w:p w14:paraId="351832F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c>
          <w:tcPr>
            <w:tcW w:w="628" w:type="dxa"/>
            <w:tcBorders>
              <w:top w:val="single" w:sz="4" w:space="0" w:color="003299"/>
            </w:tcBorders>
            <w:noWrap/>
            <w:hideMark/>
          </w:tcPr>
          <w:p w14:paraId="7C672210"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tcBorders>
              <w:top w:val="single" w:sz="4" w:space="0" w:color="003299"/>
            </w:tcBorders>
            <w:noWrap/>
            <w:hideMark/>
          </w:tcPr>
          <w:p w14:paraId="1B92A9D7"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tcBorders>
              <w:top w:val="single" w:sz="4" w:space="0" w:color="003299"/>
            </w:tcBorders>
            <w:noWrap/>
            <w:hideMark/>
          </w:tcPr>
          <w:p w14:paraId="648A517A"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r>
      <w:tr w:rsidR="00E24F39" w:rsidRPr="002F6A05" w14:paraId="03C89D08"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121" w:type="dxa"/>
            <w:noWrap/>
            <w:hideMark/>
          </w:tcPr>
          <w:p w14:paraId="1763C98E" w14:textId="77777777" w:rsidR="00E24F39" w:rsidRPr="00C7266F" w:rsidRDefault="00E24F39" w:rsidP="00596C48">
            <w:pPr>
              <w:pStyle w:val="Tabletext"/>
            </w:pPr>
            <w:r w:rsidRPr="00C7266F">
              <w:t>Unemployment rate</w:t>
            </w:r>
          </w:p>
        </w:tc>
        <w:tc>
          <w:tcPr>
            <w:tcW w:w="627" w:type="dxa"/>
            <w:noWrap/>
            <w:hideMark/>
          </w:tcPr>
          <w:p w14:paraId="6A37F8F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6.3</w:t>
            </w:r>
          </w:p>
        </w:tc>
        <w:tc>
          <w:tcPr>
            <w:tcW w:w="628" w:type="dxa"/>
            <w:noWrap/>
            <w:hideMark/>
          </w:tcPr>
          <w:p w14:paraId="005623C6"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6.3</w:t>
            </w:r>
          </w:p>
        </w:tc>
        <w:tc>
          <w:tcPr>
            <w:tcW w:w="628" w:type="dxa"/>
            <w:noWrap/>
            <w:hideMark/>
          </w:tcPr>
          <w:p w14:paraId="03A71DD4"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6.3</w:t>
            </w:r>
          </w:p>
        </w:tc>
        <w:tc>
          <w:tcPr>
            <w:tcW w:w="628" w:type="dxa"/>
            <w:tcBorders>
              <w:right w:val="single" w:sz="4" w:space="0" w:color="003299"/>
            </w:tcBorders>
            <w:noWrap/>
            <w:hideMark/>
          </w:tcPr>
          <w:p w14:paraId="3D2FF8A7"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6.2</w:t>
            </w:r>
          </w:p>
        </w:tc>
        <w:tc>
          <w:tcPr>
            <w:tcW w:w="628" w:type="dxa"/>
            <w:tcBorders>
              <w:left w:val="single" w:sz="4" w:space="0" w:color="003299"/>
            </w:tcBorders>
            <w:noWrap/>
            <w:hideMark/>
          </w:tcPr>
          <w:p w14:paraId="7462EE13"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0.0</w:t>
            </w:r>
          </w:p>
        </w:tc>
        <w:tc>
          <w:tcPr>
            <w:tcW w:w="628" w:type="dxa"/>
            <w:noWrap/>
            <w:hideMark/>
          </w:tcPr>
          <w:p w14:paraId="12544CEF"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0.1</w:t>
            </w:r>
          </w:p>
        </w:tc>
        <w:tc>
          <w:tcPr>
            <w:tcW w:w="628" w:type="dxa"/>
            <w:noWrap/>
            <w:hideMark/>
          </w:tcPr>
          <w:p w14:paraId="47183461"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0.2</w:t>
            </w:r>
          </w:p>
        </w:tc>
        <w:tc>
          <w:tcPr>
            <w:tcW w:w="628" w:type="dxa"/>
            <w:noWrap/>
            <w:hideMark/>
          </w:tcPr>
          <w:p w14:paraId="069E58FD" w14:textId="77777777" w:rsidR="00E24F39" w:rsidRPr="00C7266F"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266F">
              <w:t>0.3</w:t>
            </w:r>
          </w:p>
        </w:tc>
      </w:tr>
    </w:tbl>
    <w:p w14:paraId="423CFB72" w14:textId="77777777" w:rsidR="00E24F39" w:rsidRPr="00C565B1" w:rsidRDefault="00E24F39" w:rsidP="00AF7F42">
      <w:pPr>
        <w:pStyle w:val="Chartright-SourcesNotes"/>
      </w:pPr>
      <w:r w:rsidRPr="00C565B1">
        <w:t>Notes: Real GDP and components refer to seasonally and working day-adjusted data. Historical data may differ from the latest Eurostat publications owing to data releases after the cut-off date for the projections. Revisions are calculated from rounded data.</w:t>
      </w:r>
      <w:r w:rsidRPr="00E14986">
        <w:rPr>
          <w:rFonts w:eastAsiaTheme="minorEastAsia"/>
        </w:rPr>
        <w:t xml:space="preserve"> </w:t>
      </w:r>
      <w:r w:rsidRPr="00C565B1">
        <w:br/>
        <w:t xml:space="preserve">1) This includes intra-euro area trade. </w:t>
      </w:r>
      <w:r>
        <w:br/>
        <w:t>2</w:t>
      </w:r>
      <w:r w:rsidRPr="00C565B1">
        <w:t>) Persons employed.</w:t>
      </w:r>
    </w:p>
    <w:p w14:paraId="7D680AD1" w14:textId="1C33B674" w:rsidR="00E24F39" w:rsidRPr="00017B2B" w:rsidRDefault="00E24F39" w:rsidP="005A6714">
      <w:r w:rsidRPr="009E6596">
        <w:rPr>
          <w:rStyle w:val="IntenseEmphasis"/>
        </w:rPr>
        <w:t xml:space="preserve">Compared with the </w:t>
      </w:r>
      <w:r>
        <w:rPr>
          <w:rStyle w:val="IntenseEmphasis"/>
        </w:rPr>
        <w:t>December</w:t>
      </w:r>
      <w:r w:rsidRPr="009E6596">
        <w:rPr>
          <w:rStyle w:val="IntenseEmphasis"/>
        </w:rPr>
        <w:t xml:space="preserve"> 2025 projections, real GDP growth has been revised </w:t>
      </w:r>
      <w:r>
        <w:rPr>
          <w:rStyle w:val="IntenseEmphasis"/>
        </w:rPr>
        <w:t>down</w:t>
      </w:r>
      <w:r w:rsidRPr="009E6596">
        <w:rPr>
          <w:rStyle w:val="IntenseEmphasis"/>
        </w:rPr>
        <w:t xml:space="preserve"> by 0.</w:t>
      </w:r>
      <w:r>
        <w:rPr>
          <w:rStyle w:val="IntenseEmphasis"/>
        </w:rPr>
        <w:t>3</w:t>
      </w:r>
      <w:r w:rsidRPr="009E6596">
        <w:rPr>
          <w:rStyle w:val="IntenseEmphasis"/>
        </w:rPr>
        <w:t xml:space="preserve"> percentage points for </w:t>
      </w:r>
      <w:r>
        <w:rPr>
          <w:rStyle w:val="IntenseEmphasis"/>
        </w:rPr>
        <w:t xml:space="preserve">2026 and by 0.1 </w:t>
      </w:r>
      <w:r w:rsidRPr="009E6596">
        <w:rPr>
          <w:rStyle w:val="IntenseEmphasis"/>
        </w:rPr>
        <w:t>percentage points for 2027</w:t>
      </w:r>
      <w:r>
        <w:rPr>
          <w:rStyle w:val="IntenseEmphasis"/>
        </w:rPr>
        <w:t xml:space="preserve">, and is </w:t>
      </w:r>
      <w:r w:rsidR="00806248">
        <w:rPr>
          <w:rStyle w:val="IntenseEmphasis"/>
        </w:rPr>
        <w:t>unchanged</w:t>
      </w:r>
      <w:r w:rsidRPr="009E6596">
        <w:rPr>
          <w:rStyle w:val="IntenseEmphasis"/>
        </w:rPr>
        <w:t xml:space="preserve"> </w:t>
      </w:r>
      <w:r>
        <w:rPr>
          <w:rStyle w:val="IntenseEmphasis"/>
        </w:rPr>
        <w:t xml:space="preserve">for 2028 </w:t>
      </w:r>
      <w:r w:rsidRPr="003D08D7">
        <w:rPr>
          <w:rStyle w:val="IntenseEmphasis"/>
        </w:rPr>
        <w:t>(</w:t>
      </w:r>
      <w:r>
        <w:rPr>
          <w:rStyle w:val="IntenseEmphasis"/>
        </w:rPr>
        <w:fldChar w:fldCharType="begin"/>
      </w:r>
      <w:r>
        <w:instrText xml:space="preserve"> REF _Ref190709434 \h </w:instrText>
      </w:r>
      <w:r>
        <w:rPr>
          <w:rStyle w:val="IntenseEmphasis"/>
        </w:rPr>
      </w:r>
      <w:r>
        <w:rPr>
          <w:rStyle w:val="IntenseEmphasis"/>
        </w:rPr>
        <w:fldChar w:fldCharType="separate"/>
      </w:r>
      <w:r w:rsidR="004D705B" w:rsidRPr="007839D5">
        <w:rPr>
          <w:rStyle w:val="IntenseEmphasis"/>
        </w:rPr>
        <w:t xml:space="preserve">Chart </w:t>
      </w:r>
      <w:r w:rsidR="004D705B">
        <w:rPr>
          <w:rStyle w:val="IntenseEmphasis"/>
          <w:noProof/>
        </w:rPr>
        <w:t>3</w:t>
      </w:r>
      <w:r>
        <w:rPr>
          <w:rStyle w:val="IntenseEmphasis"/>
        </w:rPr>
        <w:fldChar w:fldCharType="end"/>
      </w:r>
      <w:r w:rsidRPr="003D08D7">
        <w:rPr>
          <w:rStyle w:val="IntenseEmphasis"/>
        </w:rPr>
        <w:t>)</w:t>
      </w:r>
      <w:r w:rsidRPr="009E6596">
        <w:rPr>
          <w:rStyle w:val="IntenseEmphasis"/>
        </w:rPr>
        <w:t>.</w:t>
      </w:r>
      <w:r w:rsidRPr="009E6596">
        <w:t xml:space="preserve"> </w:t>
      </w:r>
      <w:r>
        <w:t>B</w:t>
      </w:r>
      <w:r w:rsidRPr="009E6596">
        <w:t>etter</w:t>
      </w:r>
      <w:r>
        <w:t xml:space="preserve"> </w:t>
      </w:r>
      <w:r w:rsidRPr="009E6596">
        <w:t>than</w:t>
      </w:r>
      <w:r>
        <w:t xml:space="preserve"> </w:t>
      </w:r>
      <w:r w:rsidRPr="009E6596">
        <w:t xml:space="preserve">expected </w:t>
      </w:r>
      <w:r>
        <w:t>private consumption and investment</w:t>
      </w:r>
      <w:r w:rsidRPr="009E6596">
        <w:t xml:space="preserve"> </w:t>
      </w:r>
      <w:r>
        <w:t>data for</w:t>
      </w:r>
      <w:r w:rsidRPr="009E6596">
        <w:t xml:space="preserve"> 2025</w:t>
      </w:r>
      <w:r w:rsidRPr="004D4FF5">
        <w:t xml:space="preserve"> </w:t>
      </w:r>
      <w:r>
        <w:t xml:space="preserve">were broadly offset by weaker net trade </w:t>
      </w:r>
      <w:r>
        <w:lastRenderedPageBreak/>
        <w:t xml:space="preserve">and government consumption contributions to growth, implying only a marginal upward </w:t>
      </w:r>
      <w:r w:rsidR="00806248">
        <w:t xml:space="preserve">revision to </w:t>
      </w:r>
      <w:r>
        <w:t xml:space="preserve">GDP growth for 2025. The war in the Middle East has led to a downward revision to average GDP growth for 2026, </w:t>
      </w:r>
      <w:r w:rsidR="002C5D46">
        <w:t xml:space="preserve">partly based on expert judgement accounting for the expected negative impact on consumer and business confidence from the spikes in uncertainty and financial and commodity market volatility. This revision implied </w:t>
      </w:r>
      <w:r>
        <w:t xml:space="preserve">a negative carry-over </w:t>
      </w:r>
      <w:r w:rsidR="008A2102">
        <w:t xml:space="preserve">effect </w:t>
      </w:r>
      <w:r>
        <w:t>for growth in 2027 (</w:t>
      </w:r>
      <w:r>
        <w:rPr>
          <w:rStyle w:val="IntenseEmphasis"/>
        </w:rPr>
        <w:fldChar w:fldCharType="begin"/>
      </w:r>
      <w:r>
        <w:instrText xml:space="preserve"> REF _Ref190709434 \h </w:instrText>
      </w:r>
      <w:r>
        <w:rPr>
          <w:rStyle w:val="IntenseEmphasis"/>
        </w:rPr>
      </w:r>
      <w:r>
        <w:rPr>
          <w:rStyle w:val="IntenseEmphasis"/>
        </w:rPr>
        <w:fldChar w:fldCharType="separate"/>
      </w:r>
      <w:r w:rsidR="004D705B" w:rsidRPr="007839D5">
        <w:rPr>
          <w:rStyle w:val="IntenseEmphasis"/>
        </w:rPr>
        <w:t xml:space="preserve">Chart </w:t>
      </w:r>
      <w:r w:rsidR="004D705B">
        <w:rPr>
          <w:rStyle w:val="IntenseEmphasis"/>
          <w:noProof/>
        </w:rPr>
        <w:t>3</w:t>
      </w:r>
      <w:r>
        <w:rPr>
          <w:rStyle w:val="IntenseEmphasis"/>
        </w:rPr>
        <w:fldChar w:fldCharType="end"/>
      </w:r>
      <w:r w:rsidRPr="009E6596">
        <w:t xml:space="preserve">, </w:t>
      </w:r>
      <w:r>
        <w:t xml:space="preserve">panel a). The overall adverse impact of changes in assumptions for 2026-27 was partly offset by some upward effects from the fiscal impulse mostly related to somewhat less ambitious consolidation plans in one large country but also somewhat higher defence spending (see </w:t>
      </w:r>
      <w:r w:rsidRPr="009F233E">
        <w:rPr>
          <w:rStyle w:val="IntenseEmphasis"/>
        </w:rPr>
        <w:t>Box 3</w:t>
      </w:r>
      <w:r>
        <w:t xml:space="preserve">). The more supportive fiscal policies in some countries, the reduction </w:t>
      </w:r>
      <w:r w:rsidR="00806248">
        <w:t>in</w:t>
      </w:r>
      <w:r>
        <w:t xml:space="preserve"> energy commodity prices and marginally stronger</w:t>
      </w:r>
      <w:r w:rsidRPr="009E6596">
        <w:t xml:space="preserve"> foreign demand </w:t>
      </w:r>
      <w:r>
        <w:t xml:space="preserve">would imply stronger growth in 2028, fully offsetting any persistent repercussions of the transitory shock to activity, resulting in no revision to growth for 2028. </w:t>
      </w:r>
      <w:r w:rsidRPr="009E6596">
        <w:t>In terms of expenditure components (</w:t>
      </w:r>
      <w:r>
        <w:rPr>
          <w:rStyle w:val="IntenseEmphasis"/>
        </w:rPr>
        <w:fldChar w:fldCharType="begin"/>
      </w:r>
      <w:r>
        <w:instrText xml:space="preserve"> REF _Ref190709434 \h </w:instrText>
      </w:r>
      <w:r>
        <w:rPr>
          <w:rStyle w:val="IntenseEmphasis"/>
        </w:rPr>
      </w:r>
      <w:r>
        <w:rPr>
          <w:rStyle w:val="IntenseEmphasis"/>
        </w:rPr>
        <w:fldChar w:fldCharType="separate"/>
      </w:r>
      <w:r w:rsidR="004D705B" w:rsidRPr="007839D5">
        <w:rPr>
          <w:rStyle w:val="IntenseEmphasis"/>
        </w:rPr>
        <w:t xml:space="preserve">Chart </w:t>
      </w:r>
      <w:r w:rsidR="004D705B">
        <w:rPr>
          <w:rStyle w:val="IntenseEmphasis"/>
          <w:noProof/>
        </w:rPr>
        <w:t>3</w:t>
      </w:r>
      <w:r>
        <w:rPr>
          <w:rStyle w:val="IntenseEmphasis"/>
        </w:rPr>
        <w:fldChar w:fldCharType="end"/>
      </w:r>
      <w:r w:rsidRPr="009E6596">
        <w:t xml:space="preserve">, panel b), the </w:t>
      </w:r>
      <w:r>
        <w:t xml:space="preserve">downward </w:t>
      </w:r>
      <w:r w:rsidRPr="009E6596">
        <w:t>revision</w:t>
      </w:r>
      <w:r>
        <w:t>s</w:t>
      </w:r>
      <w:r w:rsidRPr="009E6596">
        <w:t xml:space="preserve"> for </w:t>
      </w:r>
      <w:r>
        <w:t>2026-27</w:t>
      </w:r>
      <w:r w:rsidRPr="009E6596">
        <w:t xml:space="preserve"> refer </w:t>
      </w:r>
      <w:r>
        <w:t xml:space="preserve">to consumption and investment as well as changes in inventories, the latter reflecting weaker imports. </w:t>
      </w:r>
    </w:p>
    <w:p w14:paraId="591E6AD7" w14:textId="77777777" w:rsidR="00EC3905" w:rsidRPr="007839D5" w:rsidRDefault="00EC3905" w:rsidP="00EC3905">
      <w:pPr>
        <w:pStyle w:val="Chartright-Heading"/>
      </w:pPr>
      <w:r w:rsidRPr="007839D5">
        <w:rPr>
          <w:rStyle w:val="IntenseEmphasis"/>
        </w:rPr>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Pr>
          <w:rStyle w:val="IntenseEmphasis"/>
          <w:noProof/>
        </w:rPr>
        <w:t>3</w:t>
      </w:r>
      <w:r w:rsidRPr="007839D5">
        <w:rPr>
          <w:rStyle w:val="IntenseEmphasis"/>
        </w:rPr>
        <w:fldChar w:fldCharType="end"/>
      </w:r>
      <w:r w:rsidRPr="007839D5">
        <w:br/>
        <w:t xml:space="preserve">Revisions to real GDP growth projections compared </w:t>
      </w:r>
      <w:r>
        <w:t>with</w:t>
      </w:r>
      <w:r w:rsidRPr="007839D5">
        <w:t xml:space="preserve"> the </w:t>
      </w:r>
      <w:r>
        <w:t>December</w:t>
      </w:r>
      <w:r w:rsidRPr="007839D5">
        <w:t xml:space="preserve"> 2025 </w:t>
      </w:r>
      <w:r>
        <w:t xml:space="preserve">staff </w:t>
      </w:r>
      <w:r w:rsidRPr="007839D5">
        <w:t>projections</w:t>
      </w:r>
    </w:p>
    <w:tbl>
      <w:tblPr>
        <w:tblStyle w:val="ChartDuo"/>
        <w:tblW w:w="5000" w:type="pct"/>
        <w:tblBorders>
          <w:insideV w:val="none" w:sz="0" w:space="0" w:color="auto"/>
        </w:tblBorders>
        <w:tblLook w:val="0600" w:firstRow="0" w:lastRow="0" w:firstColumn="0" w:lastColumn="0" w:noHBand="1" w:noVBand="1"/>
      </w:tblPr>
      <w:tblGrid>
        <w:gridCol w:w="3567"/>
        <w:gridCol w:w="3577"/>
      </w:tblGrid>
      <w:tr w:rsidR="00EC3905" w:rsidRPr="007839D5" w14:paraId="50ED1A38" w14:textId="77777777" w:rsidTr="00757FE9">
        <w:tc>
          <w:tcPr>
            <w:tcW w:w="0" w:type="pct"/>
          </w:tcPr>
          <w:p w14:paraId="7EF59271" w14:textId="77777777" w:rsidR="00EC3905" w:rsidRPr="00215A2A" w:rsidRDefault="00EC3905" w:rsidP="00757FE9">
            <w:pPr>
              <w:pStyle w:val="Chartright-Picture"/>
              <w:rPr>
                <w:rStyle w:val="Duochart-informativetitle"/>
                <w:kern w:val="19"/>
              </w:rPr>
            </w:pPr>
            <w:r w:rsidRPr="00215A2A">
              <w:rPr>
                <w:rStyle w:val="Duochart-informativetitle"/>
              </w:rPr>
              <w:t>a) Decomposition into intra-year and carry-over effects</w:t>
            </w:r>
          </w:p>
        </w:tc>
        <w:tc>
          <w:tcPr>
            <w:tcW w:w="0" w:type="pct"/>
          </w:tcPr>
          <w:p w14:paraId="2DFFFF2D" w14:textId="77777777" w:rsidR="00EC3905" w:rsidRPr="00215A2A" w:rsidRDefault="00EC3905" w:rsidP="00757FE9">
            <w:pPr>
              <w:pStyle w:val="Chartright-Picture"/>
              <w:rPr>
                <w:rStyle w:val="Duochart-informativetitle"/>
              </w:rPr>
            </w:pPr>
            <w:r w:rsidRPr="00215A2A">
              <w:rPr>
                <w:rStyle w:val="Duochart-informativetitle"/>
              </w:rPr>
              <w:t>b) Decomposition into the main expenditure components</w:t>
            </w:r>
          </w:p>
        </w:tc>
      </w:tr>
      <w:tr w:rsidR="00EC3905" w:rsidRPr="007839D5" w14:paraId="1E730A53" w14:textId="77777777" w:rsidTr="00757FE9">
        <w:tc>
          <w:tcPr>
            <w:tcW w:w="0" w:type="pct"/>
          </w:tcPr>
          <w:p w14:paraId="3313AB04" w14:textId="77777777" w:rsidR="00EC3905" w:rsidRPr="00E14986" w:rsidRDefault="00EC3905" w:rsidP="00757FE9">
            <w:pPr>
              <w:pStyle w:val="Chartright-Picture"/>
            </w:pPr>
            <w:r w:rsidRPr="007839D5">
              <w:t>(percentage points)</w:t>
            </w:r>
          </w:p>
        </w:tc>
        <w:tc>
          <w:tcPr>
            <w:tcW w:w="0" w:type="pct"/>
          </w:tcPr>
          <w:p w14:paraId="149475AC" w14:textId="77777777" w:rsidR="00EC3905" w:rsidRPr="00E14986" w:rsidRDefault="00EC3905" w:rsidP="00757FE9">
            <w:pPr>
              <w:pStyle w:val="Chartright-Picture"/>
            </w:pPr>
            <w:r w:rsidRPr="007839D5">
              <w:t>(percentage points)</w:t>
            </w:r>
          </w:p>
        </w:tc>
      </w:tr>
      <w:tr w:rsidR="00EC3905" w:rsidRPr="007839D5" w14:paraId="475A8BF9" w14:textId="77777777" w:rsidTr="00757FE9">
        <w:tc>
          <w:tcPr>
            <w:tcW w:w="0" w:type="pct"/>
          </w:tcPr>
          <w:p w14:paraId="3E5FC687" w14:textId="77777777" w:rsidR="00EC3905" w:rsidRPr="00E14986" w:rsidRDefault="00EC3905" w:rsidP="00757FE9">
            <w:pPr>
              <w:pStyle w:val="Chartright-Picture"/>
            </w:pPr>
            <w:r>
              <w:rPr>
                <w:noProof/>
              </w:rPr>
              <w:drawing>
                <wp:inline distT="0" distB="0" distL="0" distR="0" wp14:anchorId="01356671" wp14:editId="78A7B3D2">
                  <wp:extent cx="2231390" cy="2517775"/>
                  <wp:effectExtent l="0" t="0" r="0" b="0"/>
                  <wp:docPr id="1542637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2517775"/>
                          </a:xfrm>
                          <a:prstGeom prst="rect">
                            <a:avLst/>
                          </a:prstGeom>
                          <a:noFill/>
                        </pic:spPr>
                      </pic:pic>
                    </a:graphicData>
                  </a:graphic>
                </wp:inline>
              </w:drawing>
            </w:r>
          </w:p>
        </w:tc>
        <w:tc>
          <w:tcPr>
            <w:tcW w:w="0" w:type="pct"/>
          </w:tcPr>
          <w:p w14:paraId="7B50019B" w14:textId="77777777" w:rsidR="00EC3905" w:rsidRPr="00E14986" w:rsidRDefault="00EC3905" w:rsidP="00757FE9">
            <w:pPr>
              <w:pStyle w:val="Chartright-Picture"/>
            </w:pPr>
            <w:r>
              <w:rPr>
                <w:noProof/>
              </w:rPr>
              <w:drawing>
                <wp:inline distT="0" distB="0" distL="0" distR="0" wp14:anchorId="54AA7706" wp14:editId="2AA5109A">
                  <wp:extent cx="2237740" cy="2524125"/>
                  <wp:effectExtent l="0" t="0" r="0" b="9525"/>
                  <wp:docPr id="20528579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7740" cy="2524125"/>
                          </a:xfrm>
                          <a:prstGeom prst="rect">
                            <a:avLst/>
                          </a:prstGeom>
                          <a:noFill/>
                        </pic:spPr>
                      </pic:pic>
                    </a:graphicData>
                  </a:graphic>
                </wp:inline>
              </w:drawing>
            </w:r>
          </w:p>
        </w:tc>
      </w:tr>
    </w:tbl>
    <w:p w14:paraId="77B8A240" w14:textId="77777777" w:rsidR="00EC3905" w:rsidRPr="007839D5" w:rsidRDefault="00EC3905" w:rsidP="00EC3905">
      <w:pPr>
        <w:pStyle w:val="Chartright-SourcesNotes"/>
      </w:pPr>
      <w:r w:rsidRPr="007839D5">
        <w:t xml:space="preserve">Notes: The vertical line indicates the start of the projection horizon. </w:t>
      </w:r>
      <w:r>
        <w:t>R</w:t>
      </w:r>
      <w:r w:rsidRPr="007839D5">
        <w:t xml:space="preserve">evisions are </w:t>
      </w:r>
      <w:r>
        <w:t xml:space="preserve">calculated </w:t>
      </w:r>
      <w:r w:rsidRPr="007839D5">
        <w:t>based on unrounded figures.</w:t>
      </w:r>
    </w:p>
    <w:p w14:paraId="1B73FFD2" w14:textId="477A95DE" w:rsidR="00E24F39" w:rsidRDefault="00E24F39" w:rsidP="00C82B7D">
      <w:r>
        <w:rPr>
          <w:rStyle w:val="IntenseEmphasis"/>
        </w:rPr>
        <w:t xml:space="preserve">The labour market </w:t>
      </w:r>
      <w:r w:rsidRPr="2DFEFEC0">
        <w:rPr>
          <w:rStyle w:val="IntenseEmphasis"/>
        </w:rPr>
        <w:t xml:space="preserve">is projected to </w:t>
      </w:r>
      <w:r>
        <w:rPr>
          <w:rStyle w:val="IntenseEmphasis"/>
        </w:rPr>
        <w:t xml:space="preserve">remain resilient overall, as firms are expected to hoard labour in reaction to a temporary dip in economic activity </w:t>
      </w:r>
      <w:r w:rsidR="00806248">
        <w:rPr>
          <w:rStyle w:val="IntenseEmphasis"/>
        </w:rPr>
        <w:t>owing to</w:t>
      </w:r>
      <w:r>
        <w:rPr>
          <w:rStyle w:val="IntenseEmphasis"/>
        </w:rPr>
        <w:t xml:space="preserve"> the war in the Middle East</w:t>
      </w:r>
      <w:r w:rsidRPr="2DFEFEC0">
        <w:rPr>
          <w:rStyle w:val="IntenseEmphasis"/>
        </w:rPr>
        <w:t xml:space="preserve">. </w:t>
      </w:r>
      <w:r w:rsidRPr="00DB414D">
        <w:t>In 2025,</w:t>
      </w:r>
      <w:r w:rsidRPr="00CC50EA">
        <w:t xml:space="preserve"> </w:t>
      </w:r>
      <w:r>
        <w:t xml:space="preserve">employment growth declined following years of rather strong growth. Before the war in the Middle East, growth in employment was already projected to decline in 2026 and 2027, continuing the rebalancing phase. In the present climate, firms are largely expected to hoard labour in the short run in view of the negative shock to output emerging from the assumed transitory fallout from the war in the Middle East. However, this effect may be </w:t>
      </w:r>
      <w:r>
        <w:lastRenderedPageBreak/>
        <w:t>tempered by pressure on profits from high input costs, which would limit the scope for labour hoarding. Overall, employment growth is projected to decline more strongly in 2027 and 2028 compared with the December projections (</w:t>
      </w:r>
      <w:r>
        <w:rPr>
          <w:rStyle w:val="IntenseEmphasis"/>
        </w:rPr>
        <w:fldChar w:fldCharType="begin"/>
      </w:r>
      <w:r>
        <w:rPr>
          <w:rStyle w:val="IntenseEmphasis"/>
        </w:rPr>
        <w:instrText xml:space="preserve"> REF _Ref214884825 \h </w:instrText>
      </w:r>
      <w:r>
        <w:rPr>
          <w:rStyle w:val="IntenseEmphasis"/>
        </w:rPr>
      </w:r>
      <w:r>
        <w:rPr>
          <w:rStyle w:val="IntenseEmphasis"/>
        </w:rPr>
        <w:fldChar w:fldCharType="separate"/>
      </w:r>
      <w:r w:rsidR="004D705B" w:rsidRPr="007839D5">
        <w:rPr>
          <w:rStyle w:val="IntenseEmphasis"/>
        </w:rPr>
        <w:t xml:space="preserve">Chart </w:t>
      </w:r>
      <w:r w:rsidR="004D705B">
        <w:rPr>
          <w:rStyle w:val="IntenseEmphasis"/>
          <w:noProof/>
        </w:rPr>
        <w:t>4</w:t>
      </w:r>
      <w:r>
        <w:rPr>
          <w:rStyle w:val="IntenseEmphasis"/>
        </w:rPr>
        <w:fldChar w:fldCharType="end"/>
      </w:r>
      <w:r>
        <w:rPr>
          <w:rStyle w:val="IntenseEmphasis"/>
        </w:rPr>
        <w:t xml:space="preserve">, </w:t>
      </w:r>
      <w:r w:rsidRPr="00976373">
        <w:t xml:space="preserve">panel </w:t>
      </w:r>
      <w:r>
        <w:t xml:space="preserve">a). This adjustment path gives rise to short-term downward revisions in labour productivity growth relative to the December projections, which are compensated for by gains in 2027 and 2028. </w:t>
      </w:r>
      <w:r w:rsidRPr="00DB414D">
        <w:t xml:space="preserve">Similarly, </w:t>
      </w:r>
      <w:r w:rsidRPr="008B618F">
        <w:t>t</w:t>
      </w:r>
      <w:r w:rsidRPr="009E6596">
        <w:t xml:space="preserve">he unemployment rate is expected to </w:t>
      </w:r>
      <w:r>
        <w:t xml:space="preserve">increase slightly in 2026, followed by a </w:t>
      </w:r>
      <w:r w:rsidRPr="009E6596">
        <w:t xml:space="preserve">decline </w:t>
      </w:r>
      <w:r>
        <w:t xml:space="preserve">starting in 2027, and to reach a </w:t>
      </w:r>
      <w:r w:rsidRPr="009E6596">
        <w:t xml:space="preserve">level of </w:t>
      </w:r>
      <w:r>
        <w:t>6.1</w:t>
      </w:r>
      <w:r w:rsidRPr="009E6596">
        <w:t xml:space="preserve">% </w:t>
      </w:r>
      <w:r>
        <w:t xml:space="preserve">by the end of </w:t>
      </w:r>
      <w:r w:rsidRPr="009E6596">
        <w:t>2028</w:t>
      </w:r>
      <w:r>
        <w:t xml:space="preserve"> – an upward revision compared with the December projections </w:t>
      </w:r>
      <w:r w:rsidRPr="009E6596">
        <w:t>(</w:t>
      </w:r>
      <w:r>
        <w:fldChar w:fldCharType="begin"/>
      </w:r>
      <w:r>
        <w:instrText xml:space="preserve"> REF _Ref214884666 \h </w:instrText>
      </w:r>
      <w:r>
        <w:fldChar w:fldCharType="end"/>
      </w:r>
      <w:r>
        <w:fldChar w:fldCharType="begin"/>
      </w:r>
      <w:r>
        <w:instrText xml:space="preserve"> REF _Ref214884825 \h </w:instrText>
      </w:r>
      <w:r>
        <w:fldChar w:fldCharType="separate"/>
      </w:r>
      <w:r w:rsidR="004D705B" w:rsidRPr="007839D5">
        <w:rPr>
          <w:rStyle w:val="IntenseEmphasis"/>
        </w:rPr>
        <w:t xml:space="preserve">Chart </w:t>
      </w:r>
      <w:r w:rsidR="004D705B">
        <w:rPr>
          <w:rStyle w:val="IntenseEmphasis"/>
          <w:noProof/>
        </w:rPr>
        <w:t>4</w:t>
      </w:r>
      <w:r>
        <w:fldChar w:fldCharType="end"/>
      </w:r>
      <w:r>
        <w:t>,</w:t>
      </w:r>
      <w:r w:rsidRPr="007A2369">
        <w:t xml:space="preserve"> </w:t>
      </w:r>
      <w:r w:rsidRPr="00976373">
        <w:t xml:space="preserve">panel </w:t>
      </w:r>
      <w:r>
        <w:t>b</w:t>
      </w:r>
      <w:r w:rsidRPr="009E6596">
        <w:t>)</w:t>
      </w:r>
      <w:r>
        <w:t>.</w:t>
      </w:r>
    </w:p>
    <w:p w14:paraId="4C29D38F" w14:textId="171B1796" w:rsidR="00E24F39" w:rsidRPr="007839D5" w:rsidRDefault="00E24F39" w:rsidP="005A6714">
      <w:pPr>
        <w:pStyle w:val="Chartright-Heading"/>
      </w:pPr>
      <w:r w:rsidRPr="007839D5">
        <w:rPr>
          <w:rStyle w:val="IntenseEmphasis"/>
        </w:rPr>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sidR="004D705B">
        <w:rPr>
          <w:rStyle w:val="IntenseEmphasis"/>
          <w:noProof/>
        </w:rPr>
        <w:t>4</w:t>
      </w:r>
      <w:r w:rsidRPr="007839D5">
        <w:rPr>
          <w:rStyle w:val="IntenseEmphasis"/>
        </w:rPr>
        <w:fldChar w:fldCharType="end"/>
      </w:r>
      <w:r w:rsidRPr="007839D5">
        <w:br/>
      </w:r>
      <w:r>
        <w:t>Labour market</w:t>
      </w:r>
    </w:p>
    <w:tbl>
      <w:tblPr>
        <w:tblStyle w:val="ChartDuo"/>
        <w:tblW w:w="0" w:type="auto"/>
        <w:tblBorders>
          <w:insideV w:val="none" w:sz="0" w:space="0" w:color="auto"/>
        </w:tblBorders>
        <w:tblLook w:val="0680" w:firstRow="0" w:lastRow="0" w:firstColumn="1" w:lastColumn="0" w:noHBand="1" w:noVBand="1"/>
      </w:tblPr>
      <w:tblGrid>
        <w:gridCol w:w="3514"/>
        <w:gridCol w:w="3570"/>
      </w:tblGrid>
      <w:tr w:rsidR="00E24F39" w14:paraId="6B27727A" w14:textId="77777777" w:rsidTr="001377AC">
        <w:tc>
          <w:tcPr>
            <w:cnfStyle w:val="001000000000" w:firstRow="0" w:lastRow="0" w:firstColumn="1" w:lastColumn="0" w:oddVBand="0" w:evenVBand="0" w:oddHBand="0" w:evenHBand="0" w:firstRowFirstColumn="0" w:firstRowLastColumn="0" w:lastRowFirstColumn="0" w:lastRowLastColumn="0"/>
            <w:tcW w:w="0" w:type="dxa"/>
          </w:tcPr>
          <w:p w14:paraId="7BA5FE98" w14:textId="77777777" w:rsidR="00E24F39" w:rsidRPr="00215A2A" w:rsidRDefault="00E24F39" w:rsidP="001377AC">
            <w:pPr>
              <w:pStyle w:val="Chartright-Picture"/>
              <w:rPr>
                <w:rStyle w:val="Duochart-informativetitle"/>
                <w:kern w:val="19"/>
              </w:rPr>
            </w:pPr>
            <w:r w:rsidRPr="00215A2A">
              <w:rPr>
                <w:rStyle w:val="Duochart-informativetitle"/>
              </w:rPr>
              <w:t xml:space="preserve">a) Employment </w:t>
            </w:r>
          </w:p>
        </w:tc>
        <w:tc>
          <w:tcPr>
            <w:tcW w:w="0" w:type="dxa"/>
          </w:tcPr>
          <w:p w14:paraId="2A2511C5" w14:textId="77777777" w:rsidR="00E24F39" w:rsidRPr="00215A2A" w:rsidRDefault="00E24F39" w:rsidP="001377AC">
            <w:pPr>
              <w:pStyle w:val="Chartright-Picture"/>
              <w:cnfStyle w:val="000000000000" w:firstRow="0" w:lastRow="0" w:firstColumn="0" w:lastColumn="0" w:oddVBand="0" w:evenVBand="0" w:oddHBand="0" w:evenHBand="0" w:firstRowFirstColumn="0" w:firstRowLastColumn="0" w:lastRowFirstColumn="0" w:lastRowLastColumn="0"/>
              <w:rPr>
                <w:rStyle w:val="Duochart-informativetitle"/>
                <w:kern w:val="19"/>
              </w:rPr>
            </w:pPr>
            <w:r w:rsidRPr="00215A2A">
              <w:rPr>
                <w:rStyle w:val="Duochart-informativetitle"/>
              </w:rPr>
              <w:t>b) Unemployment rate</w:t>
            </w:r>
          </w:p>
        </w:tc>
      </w:tr>
      <w:tr w:rsidR="00E24F39" w14:paraId="7837D379" w14:textId="77777777" w:rsidTr="001377AC">
        <w:tc>
          <w:tcPr>
            <w:cnfStyle w:val="001000000000" w:firstRow="0" w:lastRow="0" w:firstColumn="1" w:lastColumn="0" w:oddVBand="0" w:evenVBand="0" w:oddHBand="0" w:evenHBand="0" w:firstRowFirstColumn="0" w:firstRowLastColumn="0" w:lastRowFirstColumn="0" w:lastRowLastColumn="0"/>
            <w:tcW w:w="0" w:type="dxa"/>
          </w:tcPr>
          <w:p w14:paraId="635FB033" w14:textId="77777777" w:rsidR="00E24F39" w:rsidRPr="00100602" w:rsidRDefault="00E24F39" w:rsidP="00BF308A">
            <w:pPr>
              <w:pStyle w:val="Chartright-Picture"/>
            </w:pPr>
            <w:r w:rsidRPr="000E1467">
              <w:t>(</w:t>
            </w:r>
            <w:r w:rsidRPr="00100602">
              <w:t>annual percentage changes)</w:t>
            </w:r>
          </w:p>
        </w:tc>
        <w:tc>
          <w:tcPr>
            <w:tcW w:w="0" w:type="dxa"/>
          </w:tcPr>
          <w:p w14:paraId="68F7745C" w14:textId="77777777" w:rsidR="00E24F39" w:rsidRPr="00100602" w:rsidRDefault="00E24F39" w:rsidP="00BF308A">
            <w:pPr>
              <w:pStyle w:val="Chartright-Picture"/>
              <w:cnfStyle w:val="000000000000" w:firstRow="0" w:lastRow="0" w:firstColumn="0" w:lastColumn="0" w:oddVBand="0" w:evenVBand="0" w:oddHBand="0" w:evenHBand="0" w:firstRowFirstColumn="0" w:firstRowLastColumn="0" w:lastRowFirstColumn="0" w:lastRowLastColumn="0"/>
            </w:pPr>
            <w:r w:rsidRPr="000E1467">
              <w:t>(percentage of labour force)</w:t>
            </w:r>
          </w:p>
        </w:tc>
      </w:tr>
      <w:tr w:rsidR="00E24F39" w14:paraId="3CC368D5" w14:textId="77777777" w:rsidTr="001377AC">
        <w:tc>
          <w:tcPr>
            <w:cnfStyle w:val="001000000000" w:firstRow="0" w:lastRow="0" w:firstColumn="1" w:lastColumn="0" w:oddVBand="0" w:evenVBand="0" w:oddHBand="0" w:evenHBand="0" w:firstRowFirstColumn="0" w:firstRowLastColumn="0" w:lastRowFirstColumn="0" w:lastRowLastColumn="0"/>
            <w:tcW w:w="0" w:type="dxa"/>
          </w:tcPr>
          <w:p w14:paraId="10B8B1EF" w14:textId="77777777" w:rsidR="00E24F39" w:rsidRPr="00100602" w:rsidRDefault="00E24F39" w:rsidP="00BF308A">
            <w:pPr>
              <w:pStyle w:val="Chartright-Picture"/>
            </w:pPr>
            <w:r>
              <w:rPr>
                <w:noProof/>
              </w:rPr>
              <w:drawing>
                <wp:inline distT="0" distB="0" distL="0" distR="0" wp14:anchorId="7FC1E0B3" wp14:editId="4BD641D7">
                  <wp:extent cx="2231390" cy="2158365"/>
                  <wp:effectExtent l="0" t="0" r="0" b="0"/>
                  <wp:docPr id="920895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1390" cy="2158365"/>
                          </a:xfrm>
                          <a:prstGeom prst="rect">
                            <a:avLst/>
                          </a:prstGeom>
                          <a:noFill/>
                        </pic:spPr>
                      </pic:pic>
                    </a:graphicData>
                  </a:graphic>
                </wp:inline>
              </w:drawing>
            </w:r>
          </w:p>
        </w:tc>
        <w:tc>
          <w:tcPr>
            <w:tcW w:w="0" w:type="dxa"/>
          </w:tcPr>
          <w:p w14:paraId="188EE3BC" w14:textId="77777777" w:rsidR="00E24F39" w:rsidRPr="00100602" w:rsidRDefault="00E24F39" w:rsidP="00BF308A">
            <w:pPr>
              <w:pStyle w:val="Chartright-Picture"/>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5A8B709" wp14:editId="6482BD9E">
                  <wp:extent cx="2231390" cy="2164080"/>
                  <wp:effectExtent l="0" t="0" r="0" b="7620"/>
                  <wp:docPr id="1036215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1390" cy="2164080"/>
                          </a:xfrm>
                          <a:prstGeom prst="rect">
                            <a:avLst/>
                          </a:prstGeom>
                          <a:noFill/>
                        </pic:spPr>
                      </pic:pic>
                    </a:graphicData>
                  </a:graphic>
                </wp:inline>
              </w:drawing>
            </w:r>
          </w:p>
        </w:tc>
      </w:tr>
    </w:tbl>
    <w:p w14:paraId="2F997C6F" w14:textId="77777777" w:rsidR="00E24F39" w:rsidRDefault="00E24F39" w:rsidP="001377AC">
      <w:pPr>
        <w:pStyle w:val="Chartright-SourcesNotes"/>
      </w:pPr>
      <w:r w:rsidRPr="004134E0">
        <w:t>Note: The vertical line indicates the start of the current projection horizon.</w:t>
      </w:r>
    </w:p>
    <w:p w14:paraId="7860D21A" w14:textId="77777777" w:rsidR="00E24F39" w:rsidRDefault="00E24F39" w:rsidP="00117EAB">
      <w:pPr>
        <w:pStyle w:val="Box-Heading"/>
      </w:pPr>
      <w:bookmarkStart w:id="3" w:name="_Toc224823010"/>
      <w:r w:rsidRPr="0034195C">
        <w:rPr>
          <w:rStyle w:val="IntenseEmphasis"/>
        </w:rPr>
        <w:t xml:space="preserve">Box </w:t>
      </w:r>
      <w:r>
        <w:rPr>
          <w:rStyle w:val="IntenseEmphasis"/>
        </w:rPr>
        <w:t>1</w:t>
      </w:r>
      <w:r w:rsidRPr="0034195C">
        <w:rPr>
          <w:rStyle w:val="IntenseEmphasis"/>
        </w:rPr>
        <w:br/>
      </w:r>
      <w:r>
        <w:t>International environment</w:t>
      </w:r>
      <w:bookmarkEnd w:id="3"/>
      <w:r>
        <w:t xml:space="preserve"> </w:t>
      </w:r>
    </w:p>
    <w:p w14:paraId="35693A10" w14:textId="279C2365" w:rsidR="00E24F39" w:rsidRPr="00100602" w:rsidRDefault="00E24F39" w:rsidP="00117EAB">
      <w:pPr>
        <w:pStyle w:val="Box-Text"/>
      </w:pPr>
      <w:r>
        <w:rPr>
          <w:rStyle w:val="IntenseEmphasis"/>
        </w:rPr>
        <w:t>As with</w:t>
      </w:r>
      <w:r w:rsidRPr="00596C48">
        <w:rPr>
          <w:rStyle w:val="IntenseEmphasis"/>
        </w:rPr>
        <w:t xml:space="preserve"> the euro area, the adverse effects of the </w:t>
      </w:r>
      <w:r w:rsidR="00806248">
        <w:rPr>
          <w:rStyle w:val="IntenseEmphasis"/>
        </w:rPr>
        <w:t xml:space="preserve">war in the </w:t>
      </w:r>
      <w:r w:rsidRPr="00596C48">
        <w:rPr>
          <w:rStyle w:val="IntenseEmphasis"/>
        </w:rPr>
        <w:t xml:space="preserve">Middle East on the global economy </w:t>
      </w:r>
      <w:r>
        <w:rPr>
          <w:rStyle w:val="IntenseEmphasis"/>
        </w:rPr>
        <w:t xml:space="preserve">are expected to be </w:t>
      </w:r>
      <w:r w:rsidRPr="00596C48">
        <w:rPr>
          <w:rStyle w:val="IntenseEmphasis"/>
        </w:rPr>
        <w:t>primarily driven by sharply higher energy commodity prices.</w:t>
      </w:r>
      <w:r w:rsidRPr="00596C48">
        <w:rPr>
          <w:rStyle w:val="FootnoteReference"/>
        </w:rPr>
        <w:footnoteReference w:id="6"/>
      </w:r>
      <w:r w:rsidRPr="00100602">
        <w:t xml:space="preserve"> These</w:t>
      </w:r>
      <w:r>
        <w:t xml:space="preserve">, together with </w:t>
      </w:r>
      <w:r w:rsidRPr="007E07A9">
        <w:t>tighter global financial conditions and heightened uncertainty</w:t>
      </w:r>
      <w:r>
        <w:t xml:space="preserve">, have dampened </w:t>
      </w:r>
      <w:r w:rsidRPr="00100602">
        <w:t xml:space="preserve">the </w:t>
      </w:r>
      <w:r>
        <w:t xml:space="preserve">outlook for the </w:t>
      </w:r>
      <w:r w:rsidRPr="00100602">
        <w:t xml:space="preserve">global economy, which had </w:t>
      </w:r>
      <w:r>
        <w:t xml:space="preserve">previously </w:t>
      </w:r>
      <w:r w:rsidRPr="00100602">
        <w:t xml:space="preserve">been supported by rising </w:t>
      </w:r>
      <w:r w:rsidR="00806248">
        <w:t>artificial intelligence</w:t>
      </w:r>
      <w:r w:rsidRPr="00100602">
        <w:t xml:space="preserve">-related investment and favourable economic policies </w:t>
      </w:r>
      <w:r>
        <w:t>in</w:t>
      </w:r>
      <w:r w:rsidRPr="00100602">
        <w:t xml:space="preserve"> major economies. Additionally, lower US tariffs following a US Supreme Court decision – </w:t>
      </w:r>
      <w:r>
        <w:t>despite being</w:t>
      </w:r>
      <w:r w:rsidRPr="00100602">
        <w:t xml:space="preserve"> partially offset by a temporary global tariff imposed by </w:t>
      </w:r>
      <w:r>
        <w:t>the US Administration</w:t>
      </w:r>
      <w:r w:rsidRPr="00100602">
        <w:t xml:space="preserve"> (see </w:t>
      </w:r>
      <w:r w:rsidRPr="00596C48">
        <w:rPr>
          <w:rStyle w:val="IntenseEmphasis"/>
        </w:rPr>
        <w:t>Box 2</w:t>
      </w:r>
      <w:r w:rsidRPr="006E4EF2">
        <w:t>)</w:t>
      </w:r>
      <w:r>
        <w:t xml:space="preserve"> </w:t>
      </w:r>
      <w:r w:rsidRPr="00100602">
        <w:t xml:space="preserve">– </w:t>
      </w:r>
      <w:r>
        <w:t xml:space="preserve">are providing some </w:t>
      </w:r>
      <w:r w:rsidRPr="00100602">
        <w:t xml:space="preserve">support </w:t>
      </w:r>
      <w:r>
        <w:t xml:space="preserve">to </w:t>
      </w:r>
      <w:r w:rsidRPr="00100602">
        <w:t>global growth</w:t>
      </w:r>
      <w:r>
        <w:t>, although trade policy uncertainty remains elevated</w:t>
      </w:r>
      <w:r w:rsidRPr="00100602">
        <w:t xml:space="preserve">. </w:t>
      </w:r>
    </w:p>
    <w:p w14:paraId="20E55327" w14:textId="77777777" w:rsidR="00E24F39" w:rsidRDefault="00E24F39" w:rsidP="00EE4E3D">
      <w:pPr>
        <w:pStyle w:val="Box-Text"/>
      </w:pPr>
      <w:r w:rsidRPr="00EE4E3D">
        <w:rPr>
          <w:rStyle w:val="IntenseEmphasis"/>
        </w:rPr>
        <w:t xml:space="preserve">The conflict is estimated to reduce </w:t>
      </w:r>
      <w:r>
        <w:rPr>
          <w:rStyle w:val="IntenseEmphasis"/>
        </w:rPr>
        <w:t>world</w:t>
      </w:r>
      <w:r w:rsidRPr="00EE4E3D">
        <w:rPr>
          <w:rStyle w:val="IntenseEmphasis"/>
        </w:rPr>
        <w:t xml:space="preserve"> real GDP growth in the baseline projections by 0.4 percentage points over the next two years, </w:t>
      </w:r>
      <w:r w:rsidRPr="007B6DFD">
        <w:rPr>
          <w:rStyle w:val="IntenseEmphasis"/>
          <w:rFonts w:eastAsia="Malgun Gothic"/>
        </w:rPr>
        <w:t>reflecting the assumed trajectory of energy commodity prices</w:t>
      </w:r>
      <w:r w:rsidRPr="00EE4E3D">
        <w:rPr>
          <w:rStyle w:val="IntenseEmphasis"/>
        </w:rPr>
        <w:t>.</w:t>
      </w:r>
      <w:r w:rsidRPr="00A962EF">
        <w:t xml:space="preserve"> </w:t>
      </w:r>
      <w:r>
        <w:t>Relative</w:t>
      </w:r>
      <w:r w:rsidRPr="00A962EF">
        <w:t xml:space="preserve"> to the December projections, the war offsets the positive impact on global growth stemming from stronger</w:t>
      </w:r>
      <w:r>
        <w:t xml:space="preserve"> </w:t>
      </w:r>
      <w:r w:rsidRPr="00A962EF">
        <w:t>than</w:t>
      </w:r>
      <w:r>
        <w:t xml:space="preserve"> </w:t>
      </w:r>
      <w:r w:rsidRPr="00A962EF">
        <w:t xml:space="preserve">expected growth in late 2025 and the moderate boost </w:t>
      </w:r>
      <w:r w:rsidRPr="00A962EF">
        <w:lastRenderedPageBreak/>
        <w:t xml:space="preserve">from lower US tariffs. Overall, </w:t>
      </w:r>
      <w:r>
        <w:t>world</w:t>
      </w:r>
      <w:r w:rsidRPr="00A962EF">
        <w:t xml:space="preserve"> real GDP growth is projected </w:t>
      </w:r>
      <w:r>
        <w:t xml:space="preserve">to </w:t>
      </w:r>
      <w:r w:rsidRPr="00A962EF">
        <w:t>decrease to 3.3% in 2026, down from 3.6% in 2025, and is expected to remain steady in both 2027 and 2028, broadly unchanged from the previous projections (</w:t>
      </w:r>
      <w:r w:rsidRPr="00EE4E3D">
        <w:rPr>
          <w:rStyle w:val="IntenseEmphasis"/>
        </w:rPr>
        <w:t>Table A</w:t>
      </w:r>
      <w:r w:rsidRPr="00A962EF">
        <w:t xml:space="preserve">). </w:t>
      </w:r>
    </w:p>
    <w:p w14:paraId="18B3C2C2" w14:textId="77777777" w:rsidR="00E24F39" w:rsidRPr="00C04725" w:rsidRDefault="00E24F39" w:rsidP="00C95D16">
      <w:pPr>
        <w:pStyle w:val="Box-Charttextwide-Heading"/>
      </w:pPr>
      <w:r w:rsidRPr="004D42D6">
        <w:rPr>
          <w:rStyle w:val="IntenseEmphasis"/>
        </w:rPr>
        <w:t xml:space="preserve">Table </w:t>
      </w:r>
      <w:r>
        <w:rPr>
          <w:rStyle w:val="IntenseEmphasis"/>
        </w:rPr>
        <w:t>A</w:t>
      </w:r>
      <w:r w:rsidRPr="00C04725">
        <w:br/>
        <w:t>The international environment</w:t>
      </w:r>
    </w:p>
    <w:p w14:paraId="434339CF" w14:textId="77777777" w:rsidR="00E24F39" w:rsidRDefault="00E24F39" w:rsidP="00894C32">
      <w:pPr>
        <w:pStyle w:val="Box-Charttextwide-Measure"/>
      </w:pPr>
      <w:r w:rsidRPr="00BF6914">
        <w:t>(annual percentage changes, revisions in percentage points)</w:t>
      </w:r>
    </w:p>
    <w:tbl>
      <w:tblPr>
        <w:tblStyle w:val="Tablecentrealigned"/>
        <w:tblW w:w="8364" w:type="dxa"/>
        <w:tblLayout w:type="fixed"/>
        <w:tblLook w:val="06A0" w:firstRow="1" w:lastRow="0" w:firstColumn="1" w:lastColumn="0" w:noHBand="1" w:noVBand="1"/>
      </w:tblPr>
      <w:tblGrid>
        <w:gridCol w:w="2871"/>
        <w:gridCol w:w="686"/>
        <w:gridCol w:w="687"/>
        <w:gridCol w:w="686"/>
        <w:gridCol w:w="687"/>
        <w:gridCol w:w="687"/>
        <w:gridCol w:w="686"/>
        <w:gridCol w:w="687"/>
        <w:gridCol w:w="687"/>
      </w:tblGrid>
      <w:tr w:rsidR="00E24F39" w:rsidRPr="00E61BAA" w14:paraId="51F1B4CB" w14:textId="77777777" w:rsidTr="00FE0AF7">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2871" w:type="dxa"/>
            <w:vMerge w:val="restart"/>
            <w:noWrap/>
            <w:hideMark/>
          </w:tcPr>
          <w:p w14:paraId="050D8FEC" w14:textId="77777777" w:rsidR="00E24F39" w:rsidRPr="00F20DDD" w:rsidRDefault="00E24F39" w:rsidP="00FE0AF7">
            <w:pPr>
              <w:pStyle w:val="Box-Tabletext"/>
              <w:framePr w:wrap="notBeside"/>
            </w:pPr>
            <w:r w:rsidRPr="0034195C">
              <w:t> </w:t>
            </w:r>
          </w:p>
        </w:tc>
        <w:tc>
          <w:tcPr>
            <w:tcW w:w="2746" w:type="dxa"/>
            <w:gridSpan w:val="4"/>
          </w:tcPr>
          <w:p w14:paraId="7456FC6A"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t>March 2026</w:t>
            </w:r>
          </w:p>
        </w:tc>
        <w:tc>
          <w:tcPr>
            <w:tcW w:w="2747" w:type="dxa"/>
            <w:gridSpan w:val="4"/>
          </w:tcPr>
          <w:p w14:paraId="481E6ABD"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t>Revisions vs December 2025</w:t>
            </w:r>
          </w:p>
        </w:tc>
      </w:tr>
      <w:tr w:rsidR="00E24F39" w:rsidRPr="00E61BAA" w14:paraId="1482A8FB" w14:textId="77777777" w:rsidTr="00FE0AF7">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2871" w:type="dxa"/>
            <w:vMerge/>
            <w:noWrap/>
            <w:hideMark/>
          </w:tcPr>
          <w:p w14:paraId="40B1AB4F" w14:textId="77777777" w:rsidR="00E24F39" w:rsidRPr="0034195C" w:rsidRDefault="00E24F39" w:rsidP="00FE0AF7">
            <w:pPr>
              <w:pStyle w:val="Box-Tabletext"/>
              <w:framePr w:wrap="notBeside"/>
            </w:pPr>
          </w:p>
        </w:tc>
        <w:tc>
          <w:tcPr>
            <w:tcW w:w="686" w:type="dxa"/>
            <w:noWrap/>
            <w:hideMark/>
          </w:tcPr>
          <w:p w14:paraId="7B05CE30"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2025</w:t>
            </w:r>
          </w:p>
        </w:tc>
        <w:tc>
          <w:tcPr>
            <w:tcW w:w="687" w:type="dxa"/>
            <w:noWrap/>
            <w:hideMark/>
          </w:tcPr>
          <w:p w14:paraId="28C3F522"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2026</w:t>
            </w:r>
          </w:p>
        </w:tc>
        <w:tc>
          <w:tcPr>
            <w:tcW w:w="686" w:type="dxa"/>
          </w:tcPr>
          <w:p w14:paraId="009FF033"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2027</w:t>
            </w:r>
          </w:p>
        </w:tc>
        <w:tc>
          <w:tcPr>
            <w:tcW w:w="687" w:type="dxa"/>
            <w:tcBorders>
              <w:right w:val="nil"/>
            </w:tcBorders>
          </w:tcPr>
          <w:p w14:paraId="12CE75A6"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t>2028</w:t>
            </w:r>
          </w:p>
        </w:tc>
        <w:tc>
          <w:tcPr>
            <w:tcW w:w="687" w:type="dxa"/>
            <w:noWrap/>
            <w:hideMark/>
          </w:tcPr>
          <w:p w14:paraId="15841FB9"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2025</w:t>
            </w:r>
          </w:p>
        </w:tc>
        <w:tc>
          <w:tcPr>
            <w:tcW w:w="686" w:type="dxa"/>
            <w:noWrap/>
            <w:hideMark/>
          </w:tcPr>
          <w:p w14:paraId="08C1C6F4"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2026</w:t>
            </w:r>
          </w:p>
        </w:tc>
        <w:tc>
          <w:tcPr>
            <w:tcW w:w="687" w:type="dxa"/>
            <w:noWrap/>
            <w:hideMark/>
          </w:tcPr>
          <w:p w14:paraId="0CFA2618"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2027</w:t>
            </w:r>
          </w:p>
        </w:tc>
        <w:tc>
          <w:tcPr>
            <w:tcW w:w="687" w:type="dxa"/>
          </w:tcPr>
          <w:p w14:paraId="73941F53" w14:textId="77777777" w:rsidR="00E24F39" w:rsidRPr="00F20DDD" w:rsidRDefault="00E24F39" w:rsidP="00FE0AF7">
            <w:pPr>
              <w:pStyle w:val="Box-Tabletext"/>
              <w:framePr w:wrap="notBeside"/>
              <w:cnfStyle w:val="100000000000" w:firstRow="1" w:lastRow="0" w:firstColumn="0" w:lastColumn="0" w:oddVBand="0" w:evenVBand="0" w:oddHBand="0" w:evenHBand="0" w:firstRowFirstColumn="0" w:firstRowLastColumn="0" w:lastRowFirstColumn="0" w:lastRowLastColumn="0"/>
            </w:pPr>
            <w:r>
              <w:t>2028</w:t>
            </w:r>
          </w:p>
        </w:tc>
      </w:tr>
      <w:tr w:rsidR="00E24F39" w:rsidRPr="00E61BAA" w14:paraId="266E0B43" w14:textId="77777777" w:rsidTr="00FE0AF7">
        <w:trPr>
          <w:trHeight w:val="262"/>
        </w:trPr>
        <w:tc>
          <w:tcPr>
            <w:cnfStyle w:val="001000000000" w:firstRow="0" w:lastRow="0" w:firstColumn="1" w:lastColumn="0" w:oddVBand="0" w:evenVBand="0" w:oddHBand="0" w:evenHBand="0" w:firstRowFirstColumn="0" w:firstRowLastColumn="0" w:lastRowFirstColumn="0" w:lastRowLastColumn="0"/>
            <w:tcW w:w="2871" w:type="dxa"/>
          </w:tcPr>
          <w:p w14:paraId="73995DC0" w14:textId="77777777" w:rsidR="00E24F39" w:rsidRPr="00F20DDD" w:rsidRDefault="00E24F39" w:rsidP="00FE0AF7">
            <w:pPr>
              <w:pStyle w:val="Box-Tabletext"/>
              <w:framePr w:wrap="notBeside"/>
              <w:rPr>
                <w:rStyle w:val="IntenseEmphasis"/>
              </w:rPr>
            </w:pPr>
            <w:r w:rsidRPr="00483993">
              <w:rPr>
                <w:rStyle w:val="IntenseEmphasis"/>
              </w:rPr>
              <w:t>World real GDP (excluding the euro area)</w:t>
            </w:r>
          </w:p>
        </w:tc>
        <w:tc>
          <w:tcPr>
            <w:tcW w:w="686" w:type="dxa"/>
            <w:tcBorders>
              <w:top w:val="single" w:sz="4" w:space="0" w:color="003299"/>
              <w:left w:val="nil"/>
              <w:bottom w:val="nil"/>
              <w:right w:val="nil"/>
            </w:tcBorders>
            <w:shd w:val="clear" w:color="000000" w:fill="FFFFFF"/>
            <w:noWrap/>
            <w:vAlign w:val="center"/>
          </w:tcPr>
          <w:p w14:paraId="5DAE9445"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3.6</w:t>
            </w:r>
          </w:p>
        </w:tc>
        <w:tc>
          <w:tcPr>
            <w:tcW w:w="687" w:type="dxa"/>
            <w:tcBorders>
              <w:top w:val="single" w:sz="4" w:space="0" w:color="003299"/>
              <w:left w:val="nil"/>
              <w:bottom w:val="nil"/>
              <w:right w:val="nil"/>
            </w:tcBorders>
            <w:shd w:val="clear" w:color="000000" w:fill="FFFFFF"/>
            <w:noWrap/>
            <w:vAlign w:val="center"/>
          </w:tcPr>
          <w:p w14:paraId="0D7B0F49"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3.3</w:t>
            </w:r>
          </w:p>
        </w:tc>
        <w:tc>
          <w:tcPr>
            <w:tcW w:w="686" w:type="dxa"/>
            <w:tcBorders>
              <w:top w:val="single" w:sz="4" w:space="0" w:color="003299"/>
              <w:left w:val="nil"/>
              <w:bottom w:val="nil"/>
              <w:right w:val="nil"/>
            </w:tcBorders>
            <w:shd w:val="clear" w:color="000000" w:fill="FFFFFF"/>
            <w:vAlign w:val="center"/>
          </w:tcPr>
          <w:p w14:paraId="45060C6E"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3.2</w:t>
            </w:r>
          </w:p>
        </w:tc>
        <w:tc>
          <w:tcPr>
            <w:tcW w:w="687" w:type="dxa"/>
            <w:tcBorders>
              <w:top w:val="single" w:sz="4" w:space="0" w:color="003299"/>
              <w:left w:val="nil"/>
              <w:bottom w:val="nil"/>
              <w:right w:val="single" w:sz="4" w:space="0" w:color="003299"/>
            </w:tcBorders>
            <w:shd w:val="clear" w:color="000000" w:fill="FFFFFF"/>
            <w:vAlign w:val="center"/>
          </w:tcPr>
          <w:p w14:paraId="1417B88C"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3.3</w:t>
            </w:r>
          </w:p>
        </w:tc>
        <w:tc>
          <w:tcPr>
            <w:tcW w:w="687" w:type="dxa"/>
            <w:tcBorders>
              <w:top w:val="single" w:sz="4" w:space="0" w:color="003299"/>
              <w:left w:val="nil"/>
              <w:bottom w:val="nil"/>
              <w:right w:val="nil"/>
            </w:tcBorders>
            <w:shd w:val="clear" w:color="000000" w:fill="FFFFFF"/>
            <w:noWrap/>
            <w:vAlign w:val="center"/>
          </w:tcPr>
          <w:p w14:paraId="6D0F8B81"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0.1</w:t>
            </w:r>
          </w:p>
        </w:tc>
        <w:tc>
          <w:tcPr>
            <w:tcW w:w="686" w:type="dxa"/>
            <w:tcBorders>
              <w:top w:val="single" w:sz="4" w:space="0" w:color="003299"/>
              <w:left w:val="nil"/>
              <w:bottom w:val="nil"/>
              <w:right w:val="nil"/>
            </w:tcBorders>
            <w:shd w:val="clear" w:color="000000" w:fill="FFFFFF"/>
            <w:noWrap/>
            <w:vAlign w:val="center"/>
          </w:tcPr>
          <w:p w14:paraId="0867B9FF"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0.0</w:t>
            </w:r>
          </w:p>
        </w:tc>
        <w:tc>
          <w:tcPr>
            <w:tcW w:w="687" w:type="dxa"/>
            <w:tcBorders>
              <w:top w:val="nil"/>
              <w:left w:val="nil"/>
              <w:bottom w:val="nil"/>
              <w:right w:val="nil"/>
            </w:tcBorders>
            <w:shd w:val="clear" w:color="000000" w:fill="FFFFFF"/>
            <w:noWrap/>
            <w:vAlign w:val="center"/>
          </w:tcPr>
          <w:p w14:paraId="0E570EEE"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-0.1</w:t>
            </w:r>
          </w:p>
        </w:tc>
        <w:tc>
          <w:tcPr>
            <w:tcW w:w="687" w:type="dxa"/>
            <w:tcBorders>
              <w:top w:val="single" w:sz="4" w:space="0" w:color="003299"/>
              <w:left w:val="nil"/>
              <w:bottom w:val="nil"/>
              <w:right w:val="nil"/>
            </w:tcBorders>
            <w:shd w:val="clear" w:color="000000" w:fill="FFFFFF"/>
            <w:vAlign w:val="center"/>
          </w:tcPr>
          <w:p w14:paraId="3CE48924"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0.0</w:t>
            </w:r>
          </w:p>
        </w:tc>
      </w:tr>
      <w:tr w:rsidR="00E24F39" w:rsidRPr="00E61BAA" w14:paraId="55D48A22" w14:textId="77777777" w:rsidTr="00FE0AF7">
        <w:trPr>
          <w:trHeight w:val="262"/>
        </w:trPr>
        <w:tc>
          <w:tcPr>
            <w:cnfStyle w:val="001000000000" w:firstRow="0" w:lastRow="0" w:firstColumn="1" w:lastColumn="0" w:oddVBand="0" w:evenVBand="0" w:oddHBand="0" w:evenHBand="0" w:firstRowFirstColumn="0" w:firstRowLastColumn="0" w:lastRowFirstColumn="0" w:lastRowLastColumn="0"/>
            <w:tcW w:w="2871" w:type="dxa"/>
          </w:tcPr>
          <w:p w14:paraId="66B2D35E" w14:textId="77777777" w:rsidR="00E24F39" w:rsidRPr="00F20DDD" w:rsidRDefault="00E24F39" w:rsidP="00FE0AF7">
            <w:pPr>
              <w:pStyle w:val="Box-Tabletext"/>
              <w:framePr w:wrap="notBeside"/>
              <w:rPr>
                <w:rStyle w:val="IntenseEmphasis"/>
              </w:rPr>
            </w:pPr>
            <w:r w:rsidRPr="00483993">
              <w:rPr>
                <w:rStyle w:val="IntenseEmphasis"/>
              </w:rPr>
              <w:t>Global trade (excluding the euro area)</w:t>
            </w:r>
            <w:r w:rsidRPr="00F20DDD">
              <w:rPr>
                <w:rStyle w:val="FootnoteReference"/>
              </w:rPr>
              <w:t>1)</w:t>
            </w:r>
          </w:p>
        </w:tc>
        <w:tc>
          <w:tcPr>
            <w:tcW w:w="686" w:type="dxa"/>
            <w:tcBorders>
              <w:top w:val="nil"/>
              <w:left w:val="nil"/>
              <w:bottom w:val="nil"/>
              <w:right w:val="nil"/>
            </w:tcBorders>
            <w:shd w:val="clear" w:color="000000" w:fill="FFFFFF"/>
            <w:noWrap/>
            <w:vAlign w:val="center"/>
          </w:tcPr>
          <w:p w14:paraId="7563A8AB"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5.0</w:t>
            </w:r>
          </w:p>
        </w:tc>
        <w:tc>
          <w:tcPr>
            <w:tcW w:w="687" w:type="dxa"/>
            <w:tcBorders>
              <w:top w:val="nil"/>
              <w:left w:val="nil"/>
              <w:bottom w:val="nil"/>
              <w:right w:val="nil"/>
            </w:tcBorders>
            <w:shd w:val="clear" w:color="000000" w:fill="FFFFFF"/>
            <w:noWrap/>
            <w:vAlign w:val="center"/>
          </w:tcPr>
          <w:p w14:paraId="0B4A9B11"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2.3</w:t>
            </w:r>
          </w:p>
        </w:tc>
        <w:tc>
          <w:tcPr>
            <w:tcW w:w="686" w:type="dxa"/>
            <w:tcBorders>
              <w:top w:val="nil"/>
              <w:left w:val="nil"/>
              <w:bottom w:val="nil"/>
              <w:right w:val="nil"/>
            </w:tcBorders>
            <w:shd w:val="clear" w:color="000000" w:fill="FFFFFF"/>
            <w:vAlign w:val="center"/>
          </w:tcPr>
          <w:p w14:paraId="482B80DD"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2.9</w:t>
            </w:r>
          </w:p>
        </w:tc>
        <w:tc>
          <w:tcPr>
            <w:tcW w:w="687" w:type="dxa"/>
            <w:tcBorders>
              <w:top w:val="nil"/>
              <w:left w:val="nil"/>
              <w:bottom w:val="nil"/>
              <w:right w:val="single" w:sz="4" w:space="0" w:color="003299"/>
            </w:tcBorders>
            <w:shd w:val="clear" w:color="000000" w:fill="FFFFFF"/>
            <w:vAlign w:val="center"/>
          </w:tcPr>
          <w:p w14:paraId="47FB8623"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3.2</w:t>
            </w:r>
          </w:p>
        </w:tc>
        <w:tc>
          <w:tcPr>
            <w:tcW w:w="687" w:type="dxa"/>
            <w:tcBorders>
              <w:top w:val="nil"/>
              <w:left w:val="nil"/>
              <w:bottom w:val="nil"/>
              <w:right w:val="nil"/>
            </w:tcBorders>
            <w:shd w:val="clear" w:color="000000" w:fill="FFFFFF"/>
            <w:noWrap/>
            <w:vAlign w:val="center"/>
          </w:tcPr>
          <w:p w14:paraId="1755BD1E"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0.6</w:t>
            </w:r>
          </w:p>
        </w:tc>
        <w:tc>
          <w:tcPr>
            <w:tcW w:w="686" w:type="dxa"/>
            <w:tcBorders>
              <w:top w:val="nil"/>
              <w:left w:val="nil"/>
              <w:bottom w:val="nil"/>
              <w:right w:val="nil"/>
            </w:tcBorders>
            <w:shd w:val="clear" w:color="000000" w:fill="FFFFFF"/>
            <w:noWrap/>
            <w:vAlign w:val="center"/>
          </w:tcPr>
          <w:p w14:paraId="4F44D78D"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0.3</w:t>
            </w:r>
          </w:p>
        </w:tc>
        <w:tc>
          <w:tcPr>
            <w:tcW w:w="687" w:type="dxa"/>
            <w:tcBorders>
              <w:top w:val="nil"/>
              <w:left w:val="nil"/>
              <w:bottom w:val="nil"/>
              <w:right w:val="nil"/>
            </w:tcBorders>
            <w:shd w:val="clear" w:color="000000" w:fill="FFFFFF"/>
            <w:noWrap/>
            <w:vAlign w:val="center"/>
          </w:tcPr>
          <w:p w14:paraId="1F0E2A25"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-0.2</w:t>
            </w:r>
          </w:p>
        </w:tc>
        <w:tc>
          <w:tcPr>
            <w:tcW w:w="687" w:type="dxa"/>
            <w:tcBorders>
              <w:top w:val="nil"/>
              <w:left w:val="nil"/>
              <w:bottom w:val="nil"/>
              <w:right w:val="nil"/>
            </w:tcBorders>
            <w:shd w:val="clear" w:color="000000" w:fill="FFFFFF"/>
            <w:vAlign w:val="center"/>
          </w:tcPr>
          <w:p w14:paraId="7D7392D2"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0.1</w:t>
            </w:r>
          </w:p>
        </w:tc>
      </w:tr>
      <w:tr w:rsidR="00E24F39" w:rsidRPr="00E61BAA" w14:paraId="17CBAD9F" w14:textId="77777777" w:rsidTr="00FE0AF7">
        <w:trPr>
          <w:trHeight w:val="262"/>
        </w:trPr>
        <w:tc>
          <w:tcPr>
            <w:cnfStyle w:val="001000000000" w:firstRow="0" w:lastRow="0" w:firstColumn="1" w:lastColumn="0" w:oddVBand="0" w:evenVBand="0" w:oddHBand="0" w:evenHBand="0" w:firstRowFirstColumn="0" w:firstRowLastColumn="0" w:lastRowFirstColumn="0" w:lastRowLastColumn="0"/>
            <w:tcW w:w="2871" w:type="dxa"/>
          </w:tcPr>
          <w:p w14:paraId="55C42054" w14:textId="77777777" w:rsidR="00E24F39" w:rsidRPr="00F20DDD" w:rsidRDefault="00E24F39" w:rsidP="00FE0AF7">
            <w:pPr>
              <w:pStyle w:val="Box-Tabletext"/>
              <w:framePr w:wrap="notBeside"/>
              <w:rPr>
                <w:rStyle w:val="IntenseEmphasis"/>
              </w:rPr>
            </w:pPr>
            <w:r w:rsidRPr="00483993">
              <w:rPr>
                <w:rStyle w:val="IntenseEmphasis"/>
              </w:rPr>
              <w:t>Euro area foreign demand</w:t>
            </w:r>
            <w:r w:rsidRPr="00F20DDD">
              <w:rPr>
                <w:rStyle w:val="FootnoteReference"/>
              </w:rPr>
              <w:t>2)</w:t>
            </w:r>
          </w:p>
        </w:tc>
        <w:tc>
          <w:tcPr>
            <w:tcW w:w="686" w:type="dxa"/>
            <w:tcBorders>
              <w:top w:val="nil"/>
              <w:left w:val="nil"/>
              <w:bottom w:val="nil"/>
              <w:right w:val="nil"/>
            </w:tcBorders>
            <w:shd w:val="clear" w:color="000000" w:fill="FFFFFF"/>
            <w:noWrap/>
            <w:vAlign w:val="center"/>
          </w:tcPr>
          <w:p w14:paraId="60191885"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4.3</w:t>
            </w:r>
          </w:p>
        </w:tc>
        <w:tc>
          <w:tcPr>
            <w:tcW w:w="687" w:type="dxa"/>
            <w:tcBorders>
              <w:top w:val="nil"/>
              <w:left w:val="nil"/>
              <w:bottom w:val="nil"/>
              <w:right w:val="nil"/>
            </w:tcBorders>
            <w:shd w:val="clear" w:color="000000" w:fill="FFFFFF"/>
            <w:noWrap/>
            <w:vAlign w:val="center"/>
          </w:tcPr>
          <w:p w14:paraId="3DCE96A2"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2.1</w:t>
            </w:r>
          </w:p>
        </w:tc>
        <w:tc>
          <w:tcPr>
            <w:tcW w:w="686" w:type="dxa"/>
            <w:tcBorders>
              <w:top w:val="nil"/>
              <w:left w:val="nil"/>
              <w:bottom w:val="nil"/>
              <w:right w:val="nil"/>
            </w:tcBorders>
            <w:shd w:val="clear" w:color="000000" w:fill="FFFFFF"/>
            <w:vAlign w:val="center"/>
          </w:tcPr>
          <w:p w14:paraId="3975A968"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3.0</w:t>
            </w:r>
          </w:p>
        </w:tc>
        <w:tc>
          <w:tcPr>
            <w:tcW w:w="687" w:type="dxa"/>
            <w:tcBorders>
              <w:top w:val="nil"/>
              <w:left w:val="nil"/>
              <w:bottom w:val="nil"/>
              <w:right w:val="single" w:sz="4" w:space="0" w:color="003299"/>
            </w:tcBorders>
            <w:shd w:val="clear" w:color="000000" w:fill="FFFFFF"/>
            <w:vAlign w:val="center"/>
          </w:tcPr>
          <w:p w14:paraId="71F0CB7A"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3.3</w:t>
            </w:r>
          </w:p>
        </w:tc>
        <w:tc>
          <w:tcPr>
            <w:tcW w:w="687" w:type="dxa"/>
            <w:tcBorders>
              <w:top w:val="nil"/>
              <w:left w:val="nil"/>
              <w:bottom w:val="nil"/>
              <w:right w:val="nil"/>
            </w:tcBorders>
            <w:shd w:val="clear" w:color="000000" w:fill="FFFFFF"/>
            <w:noWrap/>
            <w:vAlign w:val="center"/>
          </w:tcPr>
          <w:p w14:paraId="3DBAF936"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0.5</w:t>
            </w:r>
          </w:p>
        </w:tc>
        <w:tc>
          <w:tcPr>
            <w:tcW w:w="686" w:type="dxa"/>
            <w:tcBorders>
              <w:top w:val="nil"/>
              <w:left w:val="nil"/>
              <w:bottom w:val="nil"/>
              <w:right w:val="nil"/>
            </w:tcBorders>
            <w:shd w:val="clear" w:color="000000" w:fill="FFFFFF"/>
            <w:noWrap/>
            <w:vAlign w:val="center"/>
          </w:tcPr>
          <w:p w14:paraId="48F76A0D"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0.2</w:t>
            </w:r>
          </w:p>
        </w:tc>
        <w:tc>
          <w:tcPr>
            <w:tcW w:w="687" w:type="dxa"/>
            <w:tcBorders>
              <w:top w:val="nil"/>
              <w:left w:val="nil"/>
              <w:bottom w:val="nil"/>
              <w:right w:val="nil"/>
            </w:tcBorders>
            <w:shd w:val="clear" w:color="000000" w:fill="FFFFFF"/>
            <w:noWrap/>
            <w:vAlign w:val="center"/>
          </w:tcPr>
          <w:p w14:paraId="56AC61F8"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-0.1</w:t>
            </w:r>
          </w:p>
        </w:tc>
        <w:tc>
          <w:tcPr>
            <w:tcW w:w="687" w:type="dxa"/>
            <w:tcBorders>
              <w:top w:val="nil"/>
              <w:left w:val="nil"/>
              <w:bottom w:val="nil"/>
              <w:right w:val="nil"/>
            </w:tcBorders>
            <w:shd w:val="clear" w:color="000000" w:fill="FFFFFF"/>
            <w:vAlign w:val="center"/>
          </w:tcPr>
          <w:p w14:paraId="2E373A7E"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0.3</w:t>
            </w:r>
          </w:p>
        </w:tc>
      </w:tr>
      <w:tr w:rsidR="00E24F39" w:rsidRPr="00E61BAA" w14:paraId="171E4B33" w14:textId="77777777" w:rsidTr="00FE0AF7">
        <w:trPr>
          <w:trHeight w:val="262"/>
        </w:trPr>
        <w:tc>
          <w:tcPr>
            <w:cnfStyle w:val="001000000000" w:firstRow="0" w:lastRow="0" w:firstColumn="1" w:lastColumn="0" w:oddVBand="0" w:evenVBand="0" w:oddHBand="0" w:evenHBand="0" w:firstRowFirstColumn="0" w:firstRowLastColumn="0" w:lastRowFirstColumn="0" w:lastRowLastColumn="0"/>
            <w:tcW w:w="2871" w:type="dxa"/>
          </w:tcPr>
          <w:p w14:paraId="7BD068ED" w14:textId="77777777" w:rsidR="00E24F39" w:rsidRPr="00F20DDD" w:rsidRDefault="00E24F39" w:rsidP="00FE0AF7">
            <w:pPr>
              <w:pStyle w:val="Box-Tabletext"/>
              <w:framePr w:wrap="notBeside"/>
              <w:rPr>
                <w:rStyle w:val="IntenseEmphasis"/>
              </w:rPr>
            </w:pPr>
            <w:r w:rsidRPr="00483993">
              <w:rPr>
                <w:rStyle w:val="IntenseEmphasis"/>
              </w:rPr>
              <w:t>World CPI (excluding the euro area)</w:t>
            </w:r>
          </w:p>
        </w:tc>
        <w:tc>
          <w:tcPr>
            <w:tcW w:w="686" w:type="dxa"/>
            <w:tcBorders>
              <w:top w:val="nil"/>
              <w:left w:val="nil"/>
              <w:bottom w:val="nil"/>
              <w:right w:val="nil"/>
            </w:tcBorders>
            <w:shd w:val="clear" w:color="000000" w:fill="FFFFFF"/>
            <w:noWrap/>
            <w:vAlign w:val="center"/>
          </w:tcPr>
          <w:p w14:paraId="055646D6"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3.1</w:t>
            </w:r>
          </w:p>
        </w:tc>
        <w:tc>
          <w:tcPr>
            <w:tcW w:w="687" w:type="dxa"/>
            <w:tcBorders>
              <w:top w:val="nil"/>
              <w:left w:val="nil"/>
              <w:bottom w:val="nil"/>
              <w:right w:val="nil"/>
            </w:tcBorders>
            <w:shd w:val="clear" w:color="000000" w:fill="FFFFFF"/>
            <w:noWrap/>
            <w:vAlign w:val="center"/>
          </w:tcPr>
          <w:p w14:paraId="59E8213C"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3.1</w:t>
            </w:r>
          </w:p>
        </w:tc>
        <w:tc>
          <w:tcPr>
            <w:tcW w:w="686" w:type="dxa"/>
            <w:tcBorders>
              <w:top w:val="nil"/>
              <w:left w:val="nil"/>
              <w:bottom w:val="nil"/>
              <w:right w:val="nil"/>
            </w:tcBorders>
            <w:shd w:val="clear" w:color="000000" w:fill="FFFFFF"/>
            <w:vAlign w:val="center"/>
          </w:tcPr>
          <w:p w14:paraId="394FDC0E"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2.7</w:t>
            </w:r>
          </w:p>
        </w:tc>
        <w:tc>
          <w:tcPr>
            <w:tcW w:w="687" w:type="dxa"/>
            <w:tcBorders>
              <w:top w:val="nil"/>
              <w:left w:val="nil"/>
              <w:bottom w:val="nil"/>
              <w:right w:val="single" w:sz="4" w:space="0" w:color="003299"/>
            </w:tcBorders>
            <w:shd w:val="clear" w:color="000000" w:fill="FFFFFF"/>
            <w:vAlign w:val="center"/>
          </w:tcPr>
          <w:p w14:paraId="47B9D615"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2.5</w:t>
            </w:r>
          </w:p>
        </w:tc>
        <w:tc>
          <w:tcPr>
            <w:tcW w:w="687" w:type="dxa"/>
            <w:tcBorders>
              <w:top w:val="nil"/>
              <w:left w:val="nil"/>
              <w:bottom w:val="nil"/>
              <w:right w:val="nil"/>
            </w:tcBorders>
            <w:shd w:val="clear" w:color="000000" w:fill="FFFFFF"/>
            <w:noWrap/>
            <w:vAlign w:val="center"/>
          </w:tcPr>
          <w:p w14:paraId="3F56CB08"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0.0</w:t>
            </w:r>
          </w:p>
        </w:tc>
        <w:tc>
          <w:tcPr>
            <w:tcW w:w="686" w:type="dxa"/>
            <w:tcBorders>
              <w:top w:val="nil"/>
              <w:left w:val="nil"/>
              <w:bottom w:val="nil"/>
              <w:right w:val="nil"/>
            </w:tcBorders>
            <w:shd w:val="clear" w:color="000000" w:fill="FFFFFF"/>
            <w:noWrap/>
            <w:vAlign w:val="center"/>
          </w:tcPr>
          <w:p w14:paraId="7FB7BEDB"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0.3</w:t>
            </w:r>
          </w:p>
        </w:tc>
        <w:tc>
          <w:tcPr>
            <w:tcW w:w="687" w:type="dxa"/>
            <w:tcBorders>
              <w:top w:val="nil"/>
              <w:left w:val="nil"/>
              <w:bottom w:val="nil"/>
              <w:right w:val="nil"/>
            </w:tcBorders>
            <w:shd w:val="clear" w:color="000000" w:fill="FFFFFF"/>
            <w:noWrap/>
            <w:vAlign w:val="center"/>
          </w:tcPr>
          <w:p w14:paraId="4721C64D"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0.2</w:t>
            </w:r>
          </w:p>
        </w:tc>
        <w:tc>
          <w:tcPr>
            <w:tcW w:w="687" w:type="dxa"/>
            <w:tcBorders>
              <w:top w:val="nil"/>
              <w:left w:val="nil"/>
              <w:bottom w:val="nil"/>
              <w:right w:val="nil"/>
            </w:tcBorders>
            <w:shd w:val="clear" w:color="000000" w:fill="FFFFFF"/>
            <w:vAlign w:val="center"/>
          </w:tcPr>
          <w:p w14:paraId="75C163CB"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rsidRPr="00483993">
              <w:t>-0.1</w:t>
            </w:r>
          </w:p>
        </w:tc>
      </w:tr>
      <w:tr w:rsidR="00E24F39" w:rsidRPr="00E61BAA" w14:paraId="1EA8836A" w14:textId="77777777" w:rsidTr="00FE0AF7">
        <w:trPr>
          <w:trHeight w:val="338"/>
        </w:trPr>
        <w:tc>
          <w:tcPr>
            <w:cnfStyle w:val="001000000000" w:firstRow="0" w:lastRow="0" w:firstColumn="1" w:lastColumn="0" w:oddVBand="0" w:evenVBand="0" w:oddHBand="0" w:evenHBand="0" w:firstRowFirstColumn="0" w:firstRowLastColumn="0" w:lastRowFirstColumn="0" w:lastRowLastColumn="0"/>
            <w:tcW w:w="2871" w:type="dxa"/>
          </w:tcPr>
          <w:p w14:paraId="00379F19" w14:textId="77777777" w:rsidR="00E24F39" w:rsidRPr="00F20DDD" w:rsidRDefault="00E24F39" w:rsidP="00FE0AF7">
            <w:pPr>
              <w:pStyle w:val="Box-Tabletext"/>
              <w:framePr w:wrap="notBeside"/>
              <w:rPr>
                <w:rStyle w:val="IntenseEmphasis"/>
              </w:rPr>
            </w:pPr>
            <w:r>
              <w:rPr>
                <w:rStyle w:val="IntenseEmphasis"/>
              </w:rPr>
              <w:t xml:space="preserve">Export prices of competitors in </w:t>
            </w:r>
            <w:r w:rsidRPr="00F20DDD">
              <w:rPr>
                <w:rStyle w:val="IntenseEmphasis"/>
              </w:rPr>
              <w:t>euro</w:t>
            </w:r>
            <w:r w:rsidRPr="00F20DDD">
              <w:rPr>
                <w:rStyle w:val="FootnoteReference"/>
              </w:rPr>
              <w:t>3)</w:t>
            </w:r>
          </w:p>
        </w:tc>
        <w:tc>
          <w:tcPr>
            <w:tcW w:w="686" w:type="dxa"/>
            <w:tcBorders>
              <w:top w:val="nil"/>
              <w:left w:val="nil"/>
              <w:bottom w:val="nil"/>
              <w:right w:val="nil"/>
            </w:tcBorders>
            <w:shd w:val="clear" w:color="000000" w:fill="FFFFFF"/>
            <w:noWrap/>
            <w:vAlign w:val="center"/>
          </w:tcPr>
          <w:p w14:paraId="70DF4511"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t>-2.2</w:t>
            </w:r>
          </w:p>
        </w:tc>
        <w:tc>
          <w:tcPr>
            <w:tcW w:w="687" w:type="dxa"/>
            <w:tcBorders>
              <w:top w:val="nil"/>
              <w:left w:val="nil"/>
              <w:bottom w:val="nil"/>
              <w:right w:val="nil"/>
            </w:tcBorders>
            <w:shd w:val="clear" w:color="000000" w:fill="FFFFFF"/>
            <w:noWrap/>
            <w:vAlign w:val="center"/>
          </w:tcPr>
          <w:p w14:paraId="406985DA"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t>1.3</w:t>
            </w:r>
          </w:p>
        </w:tc>
        <w:tc>
          <w:tcPr>
            <w:tcW w:w="686" w:type="dxa"/>
            <w:tcBorders>
              <w:top w:val="nil"/>
              <w:left w:val="nil"/>
              <w:bottom w:val="nil"/>
              <w:right w:val="nil"/>
            </w:tcBorders>
            <w:shd w:val="clear" w:color="000000" w:fill="FFFFFF"/>
            <w:vAlign w:val="center"/>
          </w:tcPr>
          <w:p w14:paraId="2B40DAFB"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t>2.2</w:t>
            </w:r>
          </w:p>
        </w:tc>
        <w:tc>
          <w:tcPr>
            <w:tcW w:w="687" w:type="dxa"/>
            <w:tcBorders>
              <w:top w:val="nil"/>
              <w:left w:val="nil"/>
              <w:bottom w:val="nil"/>
              <w:right w:val="single" w:sz="4" w:space="0" w:color="003299"/>
            </w:tcBorders>
            <w:shd w:val="clear" w:color="000000" w:fill="FFFFFF"/>
            <w:vAlign w:val="center"/>
          </w:tcPr>
          <w:p w14:paraId="721DA067"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t>1.6</w:t>
            </w:r>
          </w:p>
        </w:tc>
        <w:tc>
          <w:tcPr>
            <w:tcW w:w="687" w:type="dxa"/>
            <w:tcBorders>
              <w:top w:val="nil"/>
              <w:left w:val="nil"/>
              <w:bottom w:val="nil"/>
              <w:right w:val="nil"/>
            </w:tcBorders>
            <w:shd w:val="clear" w:color="000000" w:fill="FFFFFF"/>
            <w:noWrap/>
            <w:vAlign w:val="center"/>
          </w:tcPr>
          <w:p w14:paraId="759F8BB9"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t>-0.3</w:t>
            </w:r>
          </w:p>
        </w:tc>
        <w:tc>
          <w:tcPr>
            <w:tcW w:w="686" w:type="dxa"/>
            <w:tcBorders>
              <w:top w:val="nil"/>
              <w:left w:val="nil"/>
              <w:bottom w:val="nil"/>
              <w:right w:val="nil"/>
            </w:tcBorders>
            <w:shd w:val="clear" w:color="000000" w:fill="FFFFFF"/>
            <w:noWrap/>
            <w:vAlign w:val="center"/>
          </w:tcPr>
          <w:p w14:paraId="04C01F3D"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t>1.6</w:t>
            </w:r>
          </w:p>
        </w:tc>
        <w:tc>
          <w:tcPr>
            <w:tcW w:w="687" w:type="dxa"/>
            <w:tcBorders>
              <w:top w:val="nil"/>
              <w:left w:val="nil"/>
              <w:bottom w:val="nil"/>
              <w:right w:val="nil"/>
            </w:tcBorders>
            <w:shd w:val="clear" w:color="000000" w:fill="FFFFFF"/>
            <w:noWrap/>
            <w:vAlign w:val="center"/>
          </w:tcPr>
          <w:p w14:paraId="597B1158"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t>0.2</w:t>
            </w:r>
          </w:p>
        </w:tc>
        <w:tc>
          <w:tcPr>
            <w:tcW w:w="687" w:type="dxa"/>
            <w:tcBorders>
              <w:top w:val="nil"/>
              <w:left w:val="nil"/>
              <w:bottom w:val="nil"/>
              <w:right w:val="nil"/>
            </w:tcBorders>
            <w:shd w:val="clear" w:color="000000" w:fill="FFFFFF"/>
            <w:vAlign w:val="center"/>
          </w:tcPr>
          <w:p w14:paraId="615540EC" w14:textId="77777777" w:rsidR="00E24F39" w:rsidRPr="00F20DDD" w:rsidRDefault="00E24F39" w:rsidP="00FE0AF7">
            <w:pPr>
              <w:pStyle w:val="Box-Tabletext"/>
              <w:framePr w:wrap="notBeside"/>
              <w:cnfStyle w:val="000000000000" w:firstRow="0" w:lastRow="0" w:firstColumn="0" w:lastColumn="0" w:oddVBand="0" w:evenVBand="0" w:oddHBand="0" w:evenHBand="0" w:firstRowFirstColumn="0" w:firstRowLastColumn="0" w:lastRowFirstColumn="0" w:lastRowLastColumn="0"/>
            </w:pPr>
            <w:r>
              <w:t>-0.4</w:t>
            </w:r>
          </w:p>
        </w:tc>
      </w:tr>
    </w:tbl>
    <w:p w14:paraId="41C63FA4" w14:textId="77777777" w:rsidR="00E24F39" w:rsidRPr="004D42D6" w:rsidRDefault="00E24F39" w:rsidP="00894C32">
      <w:pPr>
        <w:pStyle w:val="Box-Charttextwide-SourcesNotes"/>
      </w:pPr>
      <w:r w:rsidRPr="004D42D6">
        <w:t xml:space="preserve">Note: Revisions are calculated from rounded figures. </w:t>
      </w:r>
      <w:r w:rsidRPr="004D42D6">
        <w:br/>
        <w:t>1) Calculated as a weighted average of imports.</w:t>
      </w:r>
      <w:r w:rsidRPr="004D42D6">
        <w:br/>
        <w:t>2) Calculated as a weighted average of imports of euro area trading partners.</w:t>
      </w:r>
      <w:r w:rsidRPr="004D42D6">
        <w:br/>
        <w:t>3) Calculated as a weighted average of the export deflators of euro area trading partners.</w:t>
      </w:r>
    </w:p>
    <w:p w14:paraId="6D845104" w14:textId="77777777" w:rsidR="00E24F39" w:rsidRPr="00100602" w:rsidRDefault="00E24F39" w:rsidP="00117EAB">
      <w:pPr>
        <w:pStyle w:val="Box-Text"/>
      </w:pPr>
      <w:r>
        <w:rPr>
          <w:rStyle w:val="IntenseEmphasis"/>
        </w:rPr>
        <w:t>Compared with the previous projection round, world</w:t>
      </w:r>
      <w:r w:rsidRPr="00596C48">
        <w:rPr>
          <w:rStyle w:val="IntenseEmphasis"/>
        </w:rPr>
        <w:t xml:space="preserve"> headline </w:t>
      </w:r>
      <w:r>
        <w:rPr>
          <w:rStyle w:val="IntenseEmphasis"/>
        </w:rPr>
        <w:t>consumer price index (</w:t>
      </w:r>
      <w:r w:rsidRPr="00596C48">
        <w:rPr>
          <w:rStyle w:val="IntenseEmphasis"/>
        </w:rPr>
        <w:t>CPI</w:t>
      </w:r>
      <w:r>
        <w:rPr>
          <w:rStyle w:val="IntenseEmphasis"/>
        </w:rPr>
        <w:t>)</w:t>
      </w:r>
      <w:r w:rsidRPr="00596C48">
        <w:rPr>
          <w:rStyle w:val="IntenseEmphasis"/>
        </w:rPr>
        <w:t xml:space="preserve"> inflation has been revised up</w:t>
      </w:r>
      <w:r>
        <w:rPr>
          <w:rStyle w:val="IntenseEmphasis"/>
        </w:rPr>
        <w:t xml:space="preserve"> for the next two years, driven by the energy price shock</w:t>
      </w:r>
      <w:r w:rsidRPr="00596C48">
        <w:rPr>
          <w:rStyle w:val="IntenseEmphasis"/>
        </w:rPr>
        <w:t>.</w:t>
      </w:r>
      <w:r w:rsidRPr="00596C48">
        <w:rPr>
          <w:rStyle w:val="FootnoteReference"/>
        </w:rPr>
        <w:footnoteReference w:id="7"/>
      </w:r>
      <w:r w:rsidRPr="00100602">
        <w:t xml:space="preserve"> </w:t>
      </w:r>
      <w:r>
        <w:t xml:space="preserve">For 2026, the inflationary impact of </w:t>
      </w:r>
      <w:r w:rsidRPr="00100602">
        <w:t>higher energy prices</w:t>
      </w:r>
      <w:r>
        <w:t xml:space="preserve"> is partially </w:t>
      </w:r>
      <w:r w:rsidRPr="00100602">
        <w:t xml:space="preserve">offset by the </w:t>
      </w:r>
      <w:proofErr w:type="gramStart"/>
      <w:r w:rsidRPr="00100602">
        <w:t>lower</w:t>
      </w:r>
      <w:r>
        <w:t xml:space="preserve"> </w:t>
      </w:r>
      <w:r w:rsidRPr="00100602">
        <w:t>than</w:t>
      </w:r>
      <w:r>
        <w:t xml:space="preserve"> expected</w:t>
      </w:r>
      <w:proofErr w:type="gramEnd"/>
      <w:r w:rsidRPr="00100602">
        <w:t xml:space="preserve"> inflation data and the effect of lower tariffs. Global headline inflation is expected to remain at 3.1%, unchanged from last year, before declining to 2.7% in 2027 and 2.5% in 2028.</w:t>
      </w:r>
    </w:p>
    <w:p w14:paraId="0824E983" w14:textId="2C0698EF" w:rsidR="00E24F39" w:rsidRDefault="00E24F39" w:rsidP="00117EAB">
      <w:pPr>
        <w:pStyle w:val="Box-Text"/>
      </w:pPr>
      <w:r w:rsidRPr="00596C48">
        <w:rPr>
          <w:rStyle w:val="IntenseEmphasis"/>
        </w:rPr>
        <w:t xml:space="preserve">The </w:t>
      </w:r>
      <w:r>
        <w:rPr>
          <w:rStyle w:val="IntenseEmphasis"/>
        </w:rPr>
        <w:t>conflict</w:t>
      </w:r>
      <w:r w:rsidRPr="00596C48">
        <w:rPr>
          <w:rStyle w:val="IntenseEmphasis"/>
        </w:rPr>
        <w:t xml:space="preserve"> </w:t>
      </w:r>
      <w:r>
        <w:rPr>
          <w:rStyle w:val="IntenseEmphasis"/>
        </w:rPr>
        <w:t xml:space="preserve">is expected to </w:t>
      </w:r>
      <w:r w:rsidRPr="00596C48">
        <w:rPr>
          <w:rStyle w:val="IntenseEmphasis"/>
        </w:rPr>
        <w:t xml:space="preserve">weaken euro area foreign demand and </w:t>
      </w:r>
      <w:r>
        <w:rPr>
          <w:rStyle w:val="IntenseEmphasis"/>
        </w:rPr>
        <w:t>raise</w:t>
      </w:r>
      <w:r w:rsidRPr="00596C48">
        <w:rPr>
          <w:rStyle w:val="IntenseEmphasis"/>
        </w:rPr>
        <w:t xml:space="preserve"> export prices of euro area competitors.</w:t>
      </w:r>
      <w:r w:rsidRPr="00100602">
        <w:t xml:space="preserve"> </w:t>
      </w:r>
      <w:r w:rsidRPr="00BD1233">
        <w:t xml:space="preserve">Higher energy prices </w:t>
      </w:r>
      <w:r>
        <w:t xml:space="preserve">should </w:t>
      </w:r>
      <w:r w:rsidRPr="00BD1233">
        <w:t xml:space="preserve">reduce demand in </w:t>
      </w:r>
      <w:r>
        <w:t>the euro area’s</w:t>
      </w:r>
      <w:r w:rsidRPr="00BD1233">
        <w:t xml:space="preserve"> trading partners, including for goods and services exported from the euro area. This negative impact outweighs </w:t>
      </w:r>
      <w:r w:rsidRPr="00C76DC2">
        <w:rPr>
          <w:rFonts w:eastAsia="Malgun Gothic" w:cs="Arial"/>
          <w:bCs/>
          <w:iCs/>
          <w:szCs w:val="19"/>
          <w:lang w:eastAsia="ar-SA"/>
        </w:rPr>
        <w:t xml:space="preserve">the positive effect of slightly reduced tariffs compared </w:t>
      </w:r>
      <w:r>
        <w:rPr>
          <w:rFonts w:eastAsia="Malgun Gothic" w:cs="Arial"/>
          <w:bCs/>
          <w:iCs/>
          <w:szCs w:val="19"/>
          <w:lang w:eastAsia="ar-SA"/>
        </w:rPr>
        <w:t>with</w:t>
      </w:r>
      <w:r w:rsidRPr="00C76DC2">
        <w:rPr>
          <w:rFonts w:eastAsia="Malgun Gothic" w:cs="Arial"/>
          <w:bCs/>
          <w:iCs/>
          <w:szCs w:val="19"/>
          <w:lang w:eastAsia="ar-SA"/>
        </w:rPr>
        <w:t xml:space="preserve"> the previous projection round. However, stronger</w:t>
      </w:r>
      <w:r>
        <w:rPr>
          <w:rFonts w:eastAsia="Malgun Gothic" w:cs="Arial"/>
          <w:bCs/>
          <w:iCs/>
          <w:szCs w:val="19"/>
          <w:lang w:eastAsia="ar-SA"/>
        </w:rPr>
        <w:t xml:space="preserve"> </w:t>
      </w:r>
      <w:r w:rsidRPr="00C76DC2">
        <w:rPr>
          <w:rFonts w:eastAsia="Malgun Gothic" w:cs="Arial"/>
          <w:bCs/>
          <w:iCs/>
          <w:szCs w:val="19"/>
          <w:lang w:eastAsia="ar-SA"/>
        </w:rPr>
        <w:t>than</w:t>
      </w:r>
      <w:r>
        <w:rPr>
          <w:rFonts w:eastAsia="Malgun Gothic" w:cs="Arial"/>
          <w:bCs/>
          <w:iCs/>
          <w:szCs w:val="19"/>
          <w:lang w:eastAsia="ar-SA"/>
        </w:rPr>
        <w:t xml:space="preserve"> </w:t>
      </w:r>
      <w:r w:rsidRPr="00C76DC2">
        <w:rPr>
          <w:rFonts w:eastAsia="Malgun Gothic" w:cs="Arial"/>
          <w:bCs/>
          <w:iCs/>
          <w:szCs w:val="19"/>
          <w:lang w:eastAsia="ar-SA"/>
        </w:rPr>
        <w:t xml:space="preserve">expected data suggest slightly higher </w:t>
      </w:r>
      <w:r>
        <w:rPr>
          <w:rFonts w:eastAsia="Malgun Gothic" w:cs="Arial"/>
          <w:bCs/>
          <w:iCs/>
          <w:szCs w:val="19"/>
          <w:lang w:eastAsia="ar-SA"/>
        </w:rPr>
        <w:t xml:space="preserve">growth in </w:t>
      </w:r>
      <w:r w:rsidRPr="00C76DC2">
        <w:rPr>
          <w:rFonts w:eastAsia="Malgun Gothic" w:cs="Arial"/>
          <w:bCs/>
          <w:iCs/>
          <w:szCs w:val="19"/>
          <w:lang w:eastAsia="ar-SA"/>
        </w:rPr>
        <w:t xml:space="preserve">euro area foreign demand this year compared </w:t>
      </w:r>
      <w:r>
        <w:rPr>
          <w:rFonts w:eastAsia="Malgun Gothic" w:cs="Arial"/>
          <w:bCs/>
          <w:iCs/>
          <w:szCs w:val="19"/>
          <w:lang w:eastAsia="ar-SA"/>
        </w:rPr>
        <w:t>with</w:t>
      </w:r>
      <w:r w:rsidRPr="00C76DC2">
        <w:rPr>
          <w:rFonts w:eastAsia="Malgun Gothic" w:cs="Arial"/>
          <w:bCs/>
          <w:iCs/>
          <w:szCs w:val="19"/>
          <w:lang w:eastAsia="ar-SA"/>
        </w:rPr>
        <w:t xml:space="preserve"> the December projections</w:t>
      </w:r>
      <w:r>
        <w:rPr>
          <w:rFonts w:eastAsia="Malgun Gothic" w:cs="Arial"/>
          <w:bCs/>
          <w:iCs/>
          <w:szCs w:val="19"/>
          <w:lang w:eastAsia="ar-SA"/>
        </w:rPr>
        <w:t>.</w:t>
      </w:r>
      <w:r w:rsidRPr="00C76DC2">
        <w:rPr>
          <w:rFonts w:eastAsia="Malgun Gothic" w:cs="Arial"/>
          <w:bCs/>
          <w:iCs/>
          <w:szCs w:val="19"/>
          <w:lang w:eastAsia="ar-SA"/>
        </w:rPr>
        <w:t xml:space="preserve"> </w:t>
      </w:r>
      <w:r>
        <w:rPr>
          <w:rFonts w:eastAsia="Malgun Gothic" w:cs="Arial"/>
          <w:bCs/>
          <w:iCs/>
          <w:szCs w:val="19"/>
          <w:lang w:eastAsia="ar-SA"/>
        </w:rPr>
        <w:t xml:space="preserve">Growth in </w:t>
      </w:r>
      <w:r>
        <w:t>e</w:t>
      </w:r>
      <w:r w:rsidRPr="00100602">
        <w:t>uro area foreign demand is projected to slow sharply to 2.1% in 2026, down from 4.3% in 2025.</w:t>
      </w:r>
      <w:r>
        <w:t xml:space="preserve"> Export prices of e</w:t>
      </w:r>
      <w:r w:rsidRPr="00100602">
        <w:t xml:space="preserve">uro area competitors, expressed in euro, are projected to rise more sharply this year than previously </w:t>
      </w:r>
      <w:r>
        <w:t>projected</w:t>
      </w:r>
      <w:r w:rsidRPr="00100602">
        <w:t xml:space="preserve">, reflecting </w:t>
      </w:r>
      <w:r w:rsidRPr="00C76DC2">
        <w:rPr>
          <w:rFonts w:eastAsia="Malgun Gothic" w:cs="Arial"/>
          <w:bCs/>
          <w:iCs/>
          <w:szCs w:val="19"/>
          <w:lang w:eastAsia="ar-SA"/>
        </w:rPr>
        <w:t xml:space="preserve">the combined effect </w:t>
      </w:r>
      <w:r>
        <w:rPr>
          <w:rFonts w:eastAsia="Malgun Gothic" w:cs="Arial"/>
          <w:bCs/>
          <w:iCs/>
          <w:szCs w:val="19"/>
          <w:lang w:eastAsia="ar-SA"/>
        </w:rPr>
        <w:t>of pass-through</w:t>
      </w:r>
      <w:r w:rsidRPr="00100602">
        <w:t xml:space="preserve"> of higher global energy prices </w:t>
      </w:r>
      <w:r>
        <w:t>and</w:t>
      </w:r>
      <w:r w:rsidRPr="00100602">
        <w:t xml:space="preserve"> the depreciation of the euro observed since the </w:t>
      </w:r>
      <w:r>
        <w:t>conflict began</w:t>
      </w:r>
      <w:r w:rsidRPr="00100602">
        <w:t>.</w:t>
      </w:r>
    </w:p>
    <w:p w14:paraId="3F77DD29" w14:textId="77777777" w:rsidR="00637789" w:rsidRPr="00100602" w:rsidRDefault="00637789" w:rsidP="00C95D16"/>
    <w:p w14:paraId="3F2FA70E" w14:textId="77777777" w:rsidR="00E24F39" w:rsidRDefault="00E24F39" w:rsidP="00100602">
      <w:pPr>
        <w:pStyle w:val="Box-Heading"/>
      </w:pPr>
      <w:bookmarkStart w:id="4" w:name="_Toc224823011"/>
      <w:r w:rsidRPr="0034195C">
        <w:rPr>
          <w:rStyle w:val="IntenseEmphasis"/>
        </w:rPr>
        <w:t xml:space="preserve">Box </w:t>
      </w:r>
      <w:r>
        <w:rPr>
          <w:rStyle w:val="IntenseEmphasis"/>
        </w:rPr>
        <w:t>2</w:t>
      </w:r>
      <w:r w:rsidRPr="0034195C">
        <w:rPr>
          <w:rStyle w:val="IntenseEmphasis"/>
        </w:rPr>
        <w:br/>
      </w:r>
      <w:r>
        <w:t>T</w:t>
      </w:r>
      <w:r w:rsidRPr="001F6FBB">
        <w:t>echnical assumptions</w:t>
      </w:r>
      <w:r>
        <w:t xml:space="preserve"> and assumptions about tariffs</w:t>
      </w:r>
      <w:bookmarkEnd w:id="4"/>
    </w:p>
    <w:p w14:paraId="222891CA" w14:textId="07FDF0BD" w:rsidR="00E24F39" w:rsidRPr="00114A61" w:rsidRDefault="00E24F39" w:rsidP="00100602">
      <w:pPr>
        <w:pStyle w:val="Box-Text"/>
      </w:pPr>
      <w:r w:rsidRPr="005D1E86">
        <w:rPr>
          <w:rStyle w:val="IntenseEmphasis"/>
        </w:rPr>
        <w:t xml:space="preserve">Compared with the December 2025 projections, the technical assumptions </w:t>
      </w:r>
      <w:r>
        <w:rPr>
          <w:rStyle w:val="IntenseEmphasis"/>
        </w:rPr>
        <w:t xml:space="preserve">entail notably </w:t>
      </w:r>
      <w:r w:rsidRPr="005D1E86">
        <w:rPr>
          <w:rStyle w:val="IntenseEmphasis"/>
        </w:rPr>
        <w:t xml:space="preserve">higher </w:t>
      </w:r>
      <w:r>
        <w:rPr>
          <w:rStyle w:val="IntenseEmphasis"/>
        </w:rPr>
        <w:t xml:space="preserve">energy commodity </w:t>
      </w:r>
      <w:r w:rsidRPr="005D1E86">
        <w:rPr>
          <w:rStyle w:val="IntenseEmphasis"/>
        </w:rPr>
        <w:t>prices</w:t>
      </w:r>
      <w:r>
        <w:rPr>
          <w:rStyle w:val="IntenseEmphasis"/>
        </w:rPr>
        <w:t xml:space="preserve"> for 2026 owing to the conflict in the Middle East</w:t>
      </w:r>
      <w:r w:rsidRPr="005D1E86">
        <w:rPr>
          <w:rStyle w:val="IntenseEmphasis"/>
        </w:rPr>
        <w:t>,</w:t>
      </w:r>
      <w:r>
        <w:rPr>
          <w:rStyle w:val="IntenseEmphasis"/>
        </w:rPr>
        <w:t xml:space="preserve"> but </w:t>
      </w:r>
      <w:r w:rsidRPr="005D1E86">
        <w:rPr>
          <w:rStyle w:val="IntenseEmphasis"/>
        </w:rPr>
        <w:t xml:space="preserve">lower </w:t>
      </w:r>
      <w:r>
        <w:rPr>
          <w:rStyle w:val="IntenseEmphasis"/>
        </w:rPr>
        <w:t>carbon</w:t>
      </w:r>
      <w:r w:rsidRPr="005D1E86">
        <w:rPr>
          <w:rStyle w:val="IntenseEmphasis"/>
        </w:rPr>
        <w:t xml:space="preserve"> prices and higher equity prices.</w:t>
      </w:r>
      <w:r>
        <w:rPr>
          <w:rStyle w:val="IntenseEmphasis"/>
        </w:rPr>
        <w:t xml:space="preserve"> </w:t>
      </w:r>
      <w:r w:rsidRPr="005319E7">
        <w:t>Following the US</w:t>
      </w:r>
      <w:r>
        <w:t>-</w:t>
      </w:r>
      <w:r w:rsidRPr="005319E7">
        <w:t>Israel</w:t>
      </w:r>
      <w:r>
        <w:t>i</w:t>
      </w:r>
      <w:r w:rsidRPr="005319E7">
        <w:t xml:space="preserve"> </w:t>
      </w:r>
      <w:r w:rsidR="008A2102">
        <w:t>military action against</w:t>
      </w:r>
      <w:r w:rsidRPr="005319E7">
        <w:t xml:space="preserve"> Iran on </w:t>
      </w:r>
      <w:r w:rsidRPr="005319E7">
        <w:lastRenderedPageBreak/>
        <w:t>28 February and the subsequent retaliation by the Iranian regime,</w:t>
      </w:r>
      <w:r w:rsidRPr="00114A61">
        <w:t xml:space="preserve"> </w:t>
      </w:r>
      <w:r>
        <w:t>both</w:t>
      </w:r>
      <w:r w:rsidRPr="00166C2B">
        <w:t xml:space="preserve"> oil</w:t>
      </w:r>
      <w:r>
        <w:t xml:space="preserve"> and gas</w:t>
      </w:r>
      <w:r w:rsidRPr="00166C2B">
        <w:t xml:space="preserve"> prices </w:t>
      </w:r>
      <w:r>
        <w:t xml:space="preserve">have </w:t>
      </w:r>
      <w:r w:rsidRPr="00166C2B">
        <w:t>surged</w:t>
      </w:r>
      <w:r>
        <w:t xml:space="preserve"> amid considerable volatility. As a result, assumptions about prices for oil and gas for 2026 have been </w:t>
      </w:r>
      <w:r w:rsidRPr="00114A61">
        <w:t xml:space="preserve">revised up by almost </w:t>
      </w:r>
      <w:r>
        <w:t>30</w:t>
      </w:r>
      <w:r w:rsidRPr="00114A61">
        <w:t xml:space="preserve">% </w:t>
      </w:r>
      <w:r>
        <w:t>and 57% respectively relative to the December 2025 projections (</w:t>
      </w:r>
      <w:r w:rsidRPr="002318C8">
        <w:rPr>
          <w:rStyle w:val="IntenseEmphasis"/>
        </w:rPr>
        <w:t>Chart A</w:t>
      </w:r>
      <w:r>
        <w:t>).</w:t>
      </w:r>
      <w:r w:rsidRPr="00114A61">
        <w:t xml:space="preserve"> </w:t>
      </w:r>
      <w:r>
        <w:t>However, in 2028, as the forward curve for oil and gas prices slopes strongly downwards, prices for oil and gas are expected to be, respectively, only 10% and 4% higher than in the December projections.</w:t>
      </w:r>
      <w:r w:rsidRPr="00114A61">
        <w:t xml:space="preserve"> </w:t>
      </w:r>
      <w:r>
        <w:t>E</w:t>
      </w:r>
      <w:r w:rsidRPr="00114A61">
        <w:t>lectricity</w:t>
      </w:r>
      <w:r>
        <w:t xml:space="preserve"> prices are assumed to be almost 17% above the December projections in 2026 but, on average, 1.5% below</w:t>
      </w:r>
      <w:r w:rsidRPr="00114A61">
        <w:t xml:space="preserve"> </w:t>
      </w:r>
      <w:r>
        <w:t xml:space="preserve">in 2027 and 2028. </w:t>
      </w:r>
      <w:r w:rsidR="00806248">
        <w:t>EU Emissions Trading System 1 (</w:t>
      </w:r>
      <w:r w:rsidRPr="00114A61">
        <w:t>ETS</w:t>
      </w:r>
      <w:r>
        <w:t>1</w:t>
      </w:r>
      <w:r w:rsidR="00806248">
        <w:t>)</w:t>
      </w:r>
      <w:r w:rsidRPr="00114A61">
        <w:t xml:space="preserve"> prices have been revised down</w:t>
      </w:r>
      <w:r>
        <w:t>,</w:t>
      </w:r>
      <w:r w:rsidRPr="00114A61">
        <w:t xml:space="preserve"> </w:t>
      </w:r>
      <w:r>
        <w:t xml:space="preserve">on average, by 13% </w:t>
      </w:r>
      <w:r w:rsidRPr="00114A61">
        <w:t>over the whole projection horizon</w:t>
      </w:r>
      <w:r>
        <w:t>, while the price assumption for the ETS2 scheme has been kept unchanged</w:t>
      </w:r>
      <w:r w:rsidRPr="00114A61">
        <w:t xml:space="preserve">. The euro </w:t>
      </w:r>
      <w:r>
        <w:t xml:space="preserve">has remained broadly unchanged </w:t>
      </w:r>
      <w:r w:rsidRPr="00114A61">
        <w:t>since the December projections</w:t>
      </w:r>
      <w:r>
        <w:t>, both against the US dollar and in nominal effective terms, amid significant volatility</w:t>
      </w:r>
      <w:r w:rsidRPr="00114A61">
        <w:t xml:space="preserve">. </w:t>
      </w:r>
      <w:r>
        <w:t>M</w:t>
      </w:r>
      <w:r w:rsidRPr="00114A61">
        <w:t>arket expectations for short-term interest rates</w:t>
      </w:r>
      <w:r>
        <w:t xml:space="preserve"> have been revised up by 0.3 percentage points for 2026, by 0.5 percentage points for 2027 and by 0.3 percentage points for 2028, while long-term rates</w:t>
      </w:r>
      <w:r w:rsidRPr="00114A61">
        <w:t xml:space="preserve"> </w:t>
      </w:r>
      <w:r>
        <w:t>have been</w:t>
      </w:r>
      <w:r w:rsidRPr="00114A61">
        <w:t xml:space="preserve"> </w:t>
      </w:r>
      <w:r>
        <w:t>revised up by 0.1 percentage points throughout the projection horizon.</w:t>
      </w:r>
      <w:r w:rsidRPr="00114A61">
        <w:t xml:space="preserve"> </w:t>
      </w:r>
    </w:p>
    <w:p w14:paraId="096DB3B9" w14:textId="77777777" w:rsidR="00E24F39" w:rsidRPr="007A6F37" w:rsidRDefault="00E24F39" w:rsidP="00100602">
      <w:pPr>
        <w:pStyle w:val="Box-Charttextwide-Heading"/>
      </w:pPr>
      <w:r w:rsidRPr="007A6F37">
        <w:rPr>
          <w:rStyle w:val="IntenseEmphasis"/>
        </w:rPr>
        <w:t>Chart A</w:t>
      </w:r>
      <w:r w:rsidRPr="007A6F37">
        <w:br/>
      </w:r>
      <w:r>
        <w:t>Energy commodity prices</w:t>
      </w:r>
    </w:p>
    <w:tbl>
      <w:tblPr>
        <w:tblStyle w:val="ChartDuo"/>
        <w:tblW w:w="5000" w:type="pct"/>
        <w:tblBorders>
          <w:insideV w:val="none" w:sz="0" w:space="0" w:color="auto"/>
        </w:tblBorders>
        <w:tblLook w:val="0600" w:firstRow="0" w:lastRow="0" w:firstColumn="0" w:lastColumn="0" w:noHBand="1" w:noVBand="1"/>
      </w:tblPr>
      <w:tblGrid>
        <w:gridCol w:w="4167"/>
        <w:gridCol w:w="4168"/>
      </w:tblGrid>
      <w:tr w:rsidR="00E24F39" w14:paraId="155F4E69" w14:textId="77777777" w:rsidTr="00E6707D">
        <w:tc>
          <w:tcPr>
            <w:tcW w:w="2581" w:type="pct"/>
          </w:tcPr>
          <w:p w14:paraId="509482AB" w14:textId="77777777" w:rsidR="00E24F39" w:rsidRPr="00100602" w:rsidRDefault="00E24F39" w:rsidP="00100602">
            <w:pPr>
              <w:pStyle w:val="Box-Tabletext"/>
              <w:framePr w:wrap="notBeside"/>
              <w:rPr>
                <w:rStyle w:val="Duochart-informativetitle"/>
              </w:rPr>
            </w:pPr>
            <w:r w:rsidRPr="007A6F37">
              <w:rPr>
                <w:rStyle w:val="Duochart-informativetitle"/>
              </w:rPr>
              <w:t xml:space="preserve">a) </w:t>
            </w:r>
            <w:r w:rsidRPr="00100602">
              <w:rPr>
                <w:rStyle w:val="Duochart-informativetitle"/>
              </w:rPr>
              <w:t>Oil price</w:t>
            </w:r>
          </w:p>
        </w:tc>
        <w:tc>
          <w:tcPr>
            <w:tcW w:w="2419" w:type="pct"/>
          </w:tcPr>
          <w:p w14:paraId="6C65B861" w14:textId="77777777" w:rsidR="00E24F39" w:rsidRPr="00100602" w:rsidRDefault="00E24F39" w:rsidP="00100602">
            <w:pPr>
              <w:pStyle w:val="Box-Tabletext"/>
              <w:framePr w:wrap="notBeside"/>
              <w:rPr>
                <w:rStyle w:val="Duochart-informativetitle"/>
              </w:rPr>
            </w:pPr>
            <w:r w:rsidRPr="007A6F37">
              <w:rPr>
                <w:rStyle w:val="Duochart-informativetitle"/>
              </w:rPr>
              <w:t xml:space="preserve">b) </w:t>
            </w:r>
            <w:r w:rsidRPr="00100602">
              <w:rPr>
                <w:rStyle w:val="Duochart-informativetitle"/>
              </w:rPr>
              <w:t>Natural gas and wholesale electricity price</w:t>
            </w:r>
            <w:r>
              <w:rPr>
                <w:rStyle w:val="Duochart-informativetitle"/>
              </w:rPr>
              <w:t>s</w:t>
            </w:r>
          </w:p>
        </w:tc>
      </w:tr>
      <w:tr w:rsidR="00E24F39" w14:paraId="09DC4133" w14:textId="77777777" w:rsidTr="00E6707D">
        <w:tc>
          <w:tcPr>
            <w:tcW w:w="2581" w:type="pct"/>
          </w:tcPr>
          <w:p w14:paraId="044FDEA6" w14:textId="77777777" w:rsidR="00E24F39" w:rsidRPr="00100602" w:rsidRDefault="00E24F39" w:rsidP="00100602">
            <w:pPr>
              <w:pStyle w:val="Box-Charttextwide-Picture"/>
              <w:framePr w:wrap="notBeside"/>
            </w:pPr>
            <w:r w:rsidRPr="007A6F37">
              <w:t>(</w:t>
            </w:r>
            <w:r w:rsidRPr="00100602">
              <w:t>USD/barrel)</w:t>
            </w:r>
          </w:p>
        </w:tc>
        <w:tc>
          <w:tcPr>
            <w:tcW w:w="2419" w:type="pct"/>
          </w:tcPr>
          <w:p w14:paraId="071D4B3E" w14:textId="77777777" w:rsidR="00E24F39" w:rsidRPr="00100602" w:rsidRDefault="00E24F39" w:rsidP="00100602">
            <w:pPr>
              <w:pStyle w:val="Box-Charttextwide-Picture"/>
              <w:framePr w:wrap="notBeside"/>
            </w:pPr>
            <w:r w:rsidRPr="007A6F37">
              <w:t>(</w:t>
            </w:r>
            <w:r w:rsidRPr="00100602">
              <w:t>EUR/MWh)</w:t>
            </w:r>
          </w:p>
        </w:tc>
      </w:tr>
      <w:tr w:rsidR="00E24F39" w14:paraId="16D3F7F5" w14:textId="77777777" w:rsidTr="00E6707D">
        <w:tc>
          <w:tcPr>
            <w:tcW w:w="2581" w:type="pct"/>
          </w:tcPr>
          <w:p w14:paraId="61BDF36E" w14:textId="77777777" w:rsidR="00E24F39" w:rsidRPr="00100602" w:rsidRDefault="00E24F39" w:rsidP="00100602">
            <w:pPr>
              <w:pStyle w:val="Box-Charttextwide-Picture"/>
              <w:framePr w:wrap="notBeside"/>
              <w:rPr>
                <w:rStyle w:val="Duochart-informativetitle"/>
              </w:rPr>
            </w:pPr>
            <w:r>
              <w:rPr>
                <w:rStyle w:val="Duochart-informativetitle"/>
                <w:noProof/>
              </w:rPr>
              <w:drawing>
                <wp:inline distT="0" distB="0" distL="0" distR="0" wp14:anchorId="4B5EA0FB" wp14:editId="085290F5">
                  <wp:extent cx="2627630" cy="2273935"/>
                  <wp:effectExtent l="0" t="0" r="1270" b="0"/>
                  <wp:docPr id="79231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7630" cy="2273935"/>
                          </a:xfrm>
                          <a:prstGeom prst="rect">
                            <a:avLst/>
                          </a:prstGeom>
                          <a:noFill/>
                        </pic:spPr>
                      </pic:pic>
                    </a:graphicData>
                  </a:graphic>
                </wp:inline>
              </w:drawing>
            </w:r>
          </w:p>
        </w:tc>
        <w:tc>
          <w:tcPr>
            <w:tcW w:w="2419" w:type="pct"/>
          </w:tcPr>
          <w:p w14:paraId="4F309BC0" w14:textId="77777777" w:rsidR="00E24F39" w:rsidRPr="00100602" w:rsidRDefault="00E24F39" w:rsidP="00100602">
            <w:pPr>
              <w:pStyle w:val="Box-Charttextwide-Picture"/>
              <w:framePr w:wrap="notBeside"/>
            </w:pPr>
            <w:r>
              <w:rPr>
                <w:noProof/>
              </w:rPr>
              <w:drawing>
                <wp:inline distT="0" distB="0" distL="0" distR="0" wp14:anchorId="628FBD53" wp14:editId="3F5F0D71">
                  <wp:extent cx="2627630" cy="2273935"/>
                  <wp:effectExtent l="0" t="0" r="1270" b="0"/>
                  <wp:docPr id="919165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7630" cy="2273935"/>
                          </a:xfrm>
                          <a:prstGeom prst="rect">
                            <a:avLst/>
                          </a:prstGeom>
                          <a:noFill/>
                        </pic:spPr>
                      </pic:pic>
                    </a:graphicData>
                  </a:graphic>
                </wp:inline>
              </w:drawing>
            </w:r>
          </w:p>
        </w:tc>
      </w:tr>
    </w:tbl>
    <w:p w14:paraId="5CDC385C" w14:textId="77777777" w:rsidR="00E24F39" w:rsidRDefault="00E24F39" w:rsidP="007B6DFD">
      <w:pPr>
        <w:pStyle w:val="Box-Charttextwide-SourcesNotes"/>
      </w:pPr>
      <w:r w:rsidRPr="00784E5B">
        <w:t>Note: The vertical line indicates the start of the projection horizon.</w:t>
      </w:r>
    </w:p>
    <w:p w14:paraId="076B10C5" w14:textId="7D2713DB" w:rsidR="00E24F39" w:rsidRPr="007A6F37" w:rsidRDefault="00E24F39" w:rsidP="00E72CD9">
      <w:pPr>
        <w:pStyle w:val="Box-Text"/>
      </w:pPr>
      <w:r>
        <w:rPr>
          <w:rStyle w:val="IntenseEmphasis"/>
        </w:rPr>
        <w:t>Following</w:t>
      </w:r>
      <w:r w:rsidRPr="00683BA2" w:rsidDel="002C2121">
        <w:rPr>
          <w:rStyle w:val="IntenseEmphasis"/>
        </w:rPr>
        <w:t xml:space="preserve"> </w:t>
      </w:r>
      <w:r>
        <w:rPr>
          <w:rStyle w:val="IntenseEmphasis"/>
        </w:rPr>
        <w:t>a ruling of the</w:t>
      </w:r>
      <w:r w:rsidRPr="00683BA2">
        <w:rPr>
          <w:rStyle w:val="IntenseEmphasis"/>
        </w:rPr>
        <w:t xml:space="preserve"> US Supreme Court</w:t>
      </w:r>
      <w:r>
        <w:rPr>
          <w:rStyle w:val="IntenseEmphasis"/>
        </w:rPr>
        <w:t xml:space="preserve">, the effective tariff rates applied by the United States on imports, including those from the euro area, have decreased compared with the previous projections. </w:t>
      </w:r>
      <w:r w:rsidRPr="0054496C">
        <w:t>Given that the</w:t>
      </w:r>
      <w:r w:rsidRPr="0054496C" w:rsidDel="00A673B7">
        <w:t xml:space="preserve"> </w:t>
      </w:r>
      <w:r w:rsidRPr="0054496C">
        <w:t>tariffs previously imposed by the US</w:t>
      </w:r>
      <w:r>
        <w:t xml:space="preserve"> A</w:t>
      </w:r>
      <w:r w:rsidRPr="0054496C">
        <w:t>dministration under the International Emergency Economic Powers Act were ruled as unconstitutional</w:t>
      </w:r>
      <w:r w:rsidRPr="00D65022" w:rsidDel="00625D03">
        <w:t>,</w:t>
      </w:r>
      <w:r w:rsidRPr="00683BA2" w:rsidDel="00625D03">
        <w:t xml:space="preserve"> </w:t>
      </w:r>
      <w:r w:rsidRPr="00683BA2">
        <w:t>a temporary “global”</w:t>
      </w:r>
      <w:r w:rsidRPr="00683BA2" w:rsidDel="005D5189">
        <w:t xml:space="preserve"> </w:t>
      </w:r>
      <w:r w:rsidRPr="00683BA2">
        <w:t xml:space="preserve">10% </w:t>
      </w:r>
      <w:r>
        <w:t>flat tariff on US imports has been introduced with exemptions similar to those that previously applied</w:t>
      </w:r>
      <w:r w:rsidRPr="00683BA2">
        <w:t xml:space="preserve">. </w:t>
      </w:r>
      <w:r>
        <w:t>This tariff applies regardless of existing trade deals with the United States and is assumed to remain unchanged over the projection horizon</w:t>
      </w:r>
      <w:r w:rsidRPr="00683BA2">
        <w:t xml:space="preserve">. </w:t>
      </w:r>
      <w:r>
        <w:t>The new global tariff implies</w:t>
      </w:r>
      <w:r w:rsidRPr="005D1E86">
        <w:t xml:space="preserve"> a reduction in the US effective tariff rate on euro area imports from 12.1% to 10.5% </w:t>
      </w:r>
      <w:r w:rsidRPr="00D6432C">
        <w:t xml:space="preserve">compared </w:t>
      </w:r>
      <w:r>
        <w:t>with the</w:t>
      </w:r>
      <w:r w:rsidRPr="00D6432C">
        <w:t xml:space="preserve"> December</w:t>
      </w:r>
      <w:r>
        <w:t xml:space="preserve"> projections.</w:t>
      </w:r>
      <w:r>
        <w:rPr>
          <w:rStyle w:val="FootnoteReference"/>
        </w:rPr>
        <w:footnoteReference w:id="8"/>
      </w:r>
      <w:r w:rsidRPr="005D1E86">
        <w:t xml:space="preserve"> </w:t>
      </w:r>
      <w:r>
        <w:t xml:space="preserve">As the changes imply larger tariff reductions for other US trading partners, in particular China, Brazil and India, the impact on the overall US </w:t>
      </w:r>
      <w:r w:rsidRPr="005D1E86">
        <w:t xml:space="preserve">effective tariff rate </w:t>
      </w:r>
      <w:r>
        <w:t>is larger (</w:t>
      </w:r>
      <w:r w:rsidRPr="005D1E86">
        <w:t xml:space="preserve">4.4 percentage points lower than in the December </w:t>
      </w:r>
      <w:r>
        <w:t>projections) and</w:t>
      </w:r>
      <w:r w:rsidR="00806248">
        <w:t xml:space="preserve"> </w:t>
      </w:r>
      <w:r w:rsidR="008A2102">
        <w:t>the rate</w:t>
      </w:r>
      <w:r>
        <w:t xml:space="preserve"> is </w:t>
      </w:r>
      <w:r w:rsidR="00806248">
        <w:t xml:space="preserve">now </w:t>
      </w:r>
      <w:r>
        <w:t xml:space="preserve">estimated to </w:t>
      </w:r>
      <w:r w:rsidRPr="005D1E86">
        <w:t>stand</w:t>
      </w:r>
      <w:r>
        <w:t xml:space="preserve"> </w:t>
      </w:r>
      <w:r w:rsidRPr="005D1E86">
        <w:t>at 13.7</w:t>
      </w:r>
      <w:r>
        <w:t xml:space="preserve">%. </w:t>
      </w:r>
      <w:r w:rsidRPr="00AC0DB2">
        <w:lastRenderedPageBreak/>
        <w:t xml:space="preserve">Euro area exporters </w:t>
      </w:r>
      <w:r>
        <w:t>have, to some extent, therefore</w:t>
      </w:r>
      <w:r w:rsidRPr="00AC0DB2">
        <w:t xml:space="preserve"> lost</w:t>
      </w:r>
      <w:r>
        <w:t xml:space="preserve"> </w:t>
      </w:r>
      <w:r w:rsidRPr="00AC0DB2">
        <w:t xml:space="preserve">competitiveness in the US market relative to </w:t>
      </w:r>
      <w:r>
        <w:t>exporters</w:t>
      </w:r>
      <w:r w:rsidRPr="00AC0DB2">
        <w:t xml:space="preserve"> from third countries that benefit from a </w:t>
      </w:r>
      <w:r w:rsidR="00806248">
        <w:t>larger</w:t>
      </w:r>
      <w:r w:rsidRPr="00AC0DB2">
        <w:t xml:space="preserve"> </w:t>
      </w:r>
      <w:r>
        <w:t>fall</w:t>
      </w:r>
      <w:r w:rsidRPr="00AC0DB2">
        <w:t xml:space="preserve"> in tariff rates.</w:t>
      </w:r>
      <w:r>
        <w:rPr>
          <w:rStyle w:val="FootnoteReference"/>
        </w:rPr>
        <w:footnoteReference w:id="9"/>
      </w:r>
      <w:r>
        <w:t xml:space="preserve"> </w:t>
      </w:r>
    </w:p>
    <w:p w14:paraId="316F05E5" w14:textId="77777777" w:rsidR="00E24F39" w:rsidRDefault="00E24F39" w:rsidP="00100602">
      <w:pPr>
        <w:pStyle w:val="Box-Charttextwide-Heading"/>
      </w:pPr>
      <w:r w:rsidRPr="0034195C">
        <w:rPr>
          <w:rStyle w:val="IntenseEmphasis"/>
        </w:rPr>
        <w:t xml:space="preserve">Table </w:t>
      </w:r>
      <w:r>
        <w:rPr>
          <w:rStyle w:val="IntenseEmphasis"/>
        </w:rPr>
        <w:t>A</w:t>
      </w:r>
      <w:r w:rsidRPr="0034195C">
        <w:rPr>
          <w:rStyle w:val="IntenseEmphasis"/>
        </w:rPr>
        <w:br/>
      </w:r>
      <w:r w:rsidRPr="0034195C">
        <w:t>Technical assumptions</w:t>
      </w:r>
    </w:p>
    <w:tbl>
      <w:tblPr>
        <w:tblStyle w:val="Tablecentrealigned"/>
        <w:tblW w:w="0" w:type="auto"/>
        <w:tblLayout w:type="fixed"/>
        <w:tblLook w:val="06A0" w:firstRow="1" w:lastRow="0" w:firstColumn="1" w:lastColumn="0" w:noHBand="1" w:noVBand="1"/>
      </w:tblPr>
      <w:tblGrid>
        <w:gridCol w:w="2875"/>
        <w:gridCol w:w="606"/>
        <w:gridCol w:w="607"/>
        <w:gridCol w:w="607"/>
        <w:gridCol w:w="606"/>
        <w:gridCol w:w="607"/>
        <w:gridCol w:w="607"/>
        <w:gridCol w:w="606"/>
        <w:gridCol w:w="607"/>
        <w:gridCol w:w="608"/>
      </w:tblGrid>
      <w:tr w:rsidR="00E24F39" w:rsidRPr="00E61BAA" w14:paraId="411AC855" w14:textId="77777777" w:rsidTr="005C7015">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2875" w:type="dxa"/>
            <w:vMerge w:val="restart"/>
            <w:noWrap/>
            <w:hideMark/>
          </w:tcPr>
          <w:p w14:paraId="0B42021A" w14:textId="77777777" w:rsidR="00E24F39" w:rsidRPr="00100602" w:rsidRDefault="00E24F39" w:rsidP="00100602">
            <w:pPr>
              <w:pStyle w:val="Box-Tabletext"/>
              <w:framePr w:wrap="notBeside"/>
            </w:pPr>
            <w:r w:rsidRPr="0034195C">
              <w:t> </w:t>
            </w:r>
          </w:p>
        </w:tc>
        <w:tc>
          <w:tcPr>
            <w:tcW w:w="3032" w:type="dxa"/>
            <w:gridSpan w:val="5"/>
          </w:tcPr>
          <w:p w14:paraId="7E576619"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t>March 2026</w:t>
            </w:r>
          </w:p>
        </w:tc>
        <w:tc>
          <w:tcPr>
            <w:tcW w:w="2428" w:type="dxa"/>
            <w:gridSpan w:val="4"/>
          </w:tcPr>
          <w:p w14:paraId="79F4D84C"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t>Revisions vs December 2025</w:t>
            </w:r>
          </w:p>
        </w:tc>
      </w:tr>
      <w:tr w:rsidR="00E24F39" w:rsidRPr="00E61BAA" w14:paraId="45BBCAEE" w14:textId="77777777" w:rsidTr="005C7015">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2875" w:type="dxa"/>
            <w:vMerge/>
            <w:noWrap/>
            <w:hideMark/>
          </w:tcPr>
          <w:p w14:paraId="3B842DEF" w14:textId="77777777" w:rsidR="00E24F39" w:rsidRPr="0034195C" w:rsidRDefault="00E24F39" w:rsidP="00100602">
            <w:pPr>
              <w:pStyle w:val="Box-Tabletext"/>
              <w:framePr w:wrap="notBeside"/>
            </w:pPr>
          </w:p>
        </w:tc>
        <w:tc>
          <w:tcPr>
            <w:tcW w:w="606" w:type="dxa"/>
            <w:noWrap/>
            <w:hideMark/>
          </w:tcPr>
          <w:p w14:paraId="58E3077C"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2024</w:t>
            </w:r>
          </w:p>
        </w:tc>
        <w:tc>
          <w:tcPr>
            <w:tcW w:w="607" w:type="dxa"/>
            <w:noWrap/>
            <w:hideMark/>
          </w:tcPr>
          <w:p w14:paraId="18A2FBD6"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2025</w:t>
            </w:r>
          </w:p>
        </w:tc>
        <w:tc>
          <w:tcPr>
            <w:tcW w:w="607" w:type="dxa"/>
            <w:noWrap/>
            <w:hideMark/>
          </w:tcPr>
          <w:p w14:paraId="3FA407C6"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2026</w:t>
            </w:r>
          </w:p>
        </w:tc>
        <w:tc>
          <w:tcPr>
            <w:tcW w:w="606" w:type="dxa"/>
          </w:tcPr>
          <w:p w14:paraId="12CB1844"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2027</w:t>
            </w:r>
          </w:p>
        </w:tc>
        <w:tc>
          <w:tcPr>
            <w:tcW w:w="607" w:type="dxa"/>
            <w:tcBorders>
              <w:right w:val="nil"/>
            </w:tcBorders>
          </w:tcPr>
          <w:p w14:paraId="146E9A4F"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t>2028</w:t>
            </w:r>
          </w:p>
        </w:tc>
        <w:tc>
          <w:tcPr>
            <w:tcW w:w="607" w:type="dxa"/>
            <w:noWrap/>
            <w:hideMark/>
          </w:tcPr>
          <w:p w14:paraId="7222859D"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2025</w:t>
            </w:r>
          </w:p>
        </w:tc>
        <w:tc>
          <w:tcPr>
            <w:tcW w:w="606" w:type="dxa"/>
            <w:noWrap/>
            <w:hideMark/>
          </w:tcPr>
          <w:p w14:paraId="316CCBBA"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2026</w:t>
            </w:r>
          </w:p>
        </w:tc>
        <w:tc>
          <w:tcPr>
            <w:tcW w:w="607" w:type="dxa"/>
            <w:noWrap/>
            <w:hideMark/>
          </w:tcPr>
          <w:p w14:paraId="35D0636E"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2027</w:t>
            </w:r>
          </w:p>
        </w:tc>
        <w:tc>
          <w:tcPr>
            <w:tcW w:w="607" w:type="dxa"/>
          </w:tcPr>
          <w:p w14:paraId="16834A08" w14:textId="77777777" w:rsidR="00E24F39" w:rsidRPr="00100602" w:rsidRDefault="00E24F39" w:rsidP="00100602">
            <w:pPr>
              <w:pStyle w:val="Box-Tabletext"/>
              <w:framePr w:wrap="notBeside"/>
              <w:cnfStyle w:val="100000000000" w:firstRow="1" w:lastRow="0" w:firstColumn="0" w:lastColumn="0" w:oddVBand="0" w:evenVBand="0" w:oddHBand="0" w:evenHBand="0" w:firstRowFirstColumn="0" w:firstRowLastColumn="0" w:lastRowFirstColumn="0" w:lastRowLastColumn="0"/>
            </w:pPr>
            <w:r>
              <w:t>2028</w:t>
            </w:r>
          </w:p>
        </w:tc>
      </w:tr>
      <w:tr w:rsidR="00E24F39" w:rsidRPr="00E61BAA" w14:paraId="7C893C4C" w14:textId="77777777" w:rsidTr="005C7015">
        <w:trPr>
          <w:trHeight w:val="262"/>
        </w:trPr>
        <w:tc>
          <w:tcPr>
            <w:cnfStyle w:val="001000000000" w:firstRow="0" w:lastRow="0" w:firstColumn="1" w:lastColumn="0" w:oddVBand="0" w:evenVBand="0" w:oddHBand="0" w:evenHBand="0" w:firstRowFirstColumn="0" w:firstRowLastColumn="0" w:lastRowFirstColumn="0" w:lastRowLastColumn="0"/>
            <w:tcW w:w="2875" w:type="dxa"/>
            <w:hideMark/>
          </w:tcPr>
          <w:p w14:paraId="5064E4E0" w14:textId="77777777" w:rsidR="00E24F39" w:rsidRPr="00100602" w:rsidRDefault="00E24F39" w:rsidP="00100602">
            <w:pPr>
              <w:pStyle w:val="Box-Tabletext"/>
              <w:framePr w:wrap="notBeside"/>
            </w:pPr>
            <w:r w:rsidRPr="0034195C">
              <w:t>Commodities:</w:t>
            </w:r>
          </w:p>
        </w:tc>
        <w:tc>
          <w:tcPr>
            <w:tcW w:w="606" w:type="dxa"/>
            <w:noWrap/>
            <w:hideMark/>
          </w:tcPr>
          <w:p w14:paraId="49AD4C1A" w14:textId="77777777" w:rsidR="00E24F39" w:rsidRPr="0034195C"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184D5C69" w14:textId="77777777" w:rsidR="00E24F39" w:rsidRPr="0034195C"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6ADEEF40" w14:textId="77777777" w:rsidR="00E24F39" w:rsidRPr="0034195C"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p>
        </w:tc>
        <w:tc>
          <w:tcPr>
            <w:tcW w:w="606" w:type="dxa"/>
          </w:tcPr>
          <w:p w14:paraId="058D528E" w14:textId="77777777" w:rsidR="00E24F39" w:rsidRPr="0034195C"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p>
        </w:tc>
        <w:tc>
          <w:tcPr>
            <w:tcW w:w="607" w:type="dxa"/>
            <w:tcBorders>
              <w:top w:val="single" w:sz="4" w:space="0" w:color="003299"/>
              <w:left w:val="nil"/>
              <w:bottom w:val="nil"/>
              <w:right w:val="single" w:sz="4" w:space="0" w:color="003299"/>
              <w:tl2br w:val="nil"/>
              <w:tr2bl w:val="nil"/>
            </w:tcBorders>
          </w:tcPr>
          <w:p w14:paraId="19A4BF12" w14:textId="77777777" w:rsidR="00E24F39" w:rsidRPr="0034195C"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p>
        </w:tc>
        <w:tc>
          <w:tcPr>
            <w:tcW w:w="607" w:type="dxa"/>
            <w:tcBorders>
              <w:left w:val="single" w:sz="4" w:space="0" w:color="003299"/>
            </w:tcBorders>
            <w:noWrap/>
            <w:hideMark/>
          </w:tcPr>
          <w:p w14:paraId="6042D2D4" w14:textId="77777777" w:rsidR="00E24F39" w:rsidRPr="0034195C"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p>
        </w:tc>
        <w:tc>
          <w:tcPr>
            <w:tcW w:w="606" w:type="dxa"/>
            <w:noWrap/>
            <w:hideMark/>
          </w:tcPr>
          <w:p w14:paraId="7E9EFF2E" w14:textId="77777777" w:rsidR="00E24F39" w:rsidRPr="0034195C"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p>
        </w:tc>
        <w:tc>
          <w:tcPr>
            <w:tcW w:w="607" w:type="dxa"/>
            <w:noWrap/>
            <w:hideMark/>
          </w:tcPr>
          <w:p w14:paraId="34B084B1" w14:textId="77777777" w:rsidR="00E24F39" w:rsidRPr="0034195C"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p>
        </w:tc>
        <w:tc>
          <w:tcPr>
            <w:tcW w:w="607" w:type="dxa"/>
          </w:tcPr>
          <w:p w14:paraId="72DF533D" w14:textId="77777777" w:rsidR="00E24F39" w:rsidRPr="0034195C"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p>
        </w:tc>
      </w:tr>
      <w:tr w:rsidR="00E24F39" w:rsidRPr="00E61BAA" w14:paraId="2E498E5B" w14:textId="77777777" w:rsidTr="005C7015">
        <w:trPr>
          <w:trHeight w:val="262"/>
        </w:trPr>
        <w:tc>
          <w:tcPr>
            <w:cnfStyle w:val="001000000000" w:firstRow="0" w:lastRow="0" w:firstColumn="1" w:lastColumn="0" w:oddVBand="0" w:evenVBand="0" w:oddHBand="0" w:evenHBand="0" w:firstRowFirstColumn="0" w:firstRowLastColumn="0" w:lastRowFirstColumn="0" w:lastRowLastColumn="0"/>
            <w:tcW w:w="2875" w:type="dxa"/>
            <w:hideMark/>
          </w:tcPr>
          <w:p w14:paraId="37DB3A9A" w14:textId="77777777" w:rsidR="00E24F39" w:rsidRPr="00100602" w:rsidRDefault="00E24F39" w:rsidP="00100602">
            <w:pPr>
              <w:pStyle w:val="Box-Tabletext"/>
              <w:framePr w:wrap="notBeside"/>
              <w:rPr>
                <w:rStyle w:val="IntenseEmphasis"/>
              </w:rPr>
            </w:pPr>
            <w:r w:rsidRPr="005F0613">
              <w:rPr>
                <w:rStyle w:val="IntenseEmphasis"/>
              </w:rPr>
              <w:t>Oil price (USD/barrel)</w:t>
            </w:r>
          </w:p>
        </w:tc>
        <w:tc>
          <w:tcPr>
            <w:tcW w:w="606" w:type="dxa"/>
            <w:noWrap/>
            <w:vAlign w:val="center"/>
            <w:hideMark/>
          </w:tcPr>
          <w:p w14:paraId="7063FDAF"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81.2</w:t>
            </w:r>
          </w:p>
        </w:tc>
        <w:tc>
          <w:tcPr>
            <w:tcW w:w="607" w:type="dxa"/>
            <w:noWrap/>
            <w:vAlign w:val="center"/>
            <w:hideMark/>
          </w:tcPr>
          <w:p w14:paraId="4708175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69.1</w:t>
            </w:r>
          </w:p>
        </w:tc>
        <w:tc>
          <w:tcPr>
            <w:tcW w:w="607" w:type="dxa"/>
            <w:noWrap/>
            <w:vAlign w:val="center"/>
            <w:hideMark/>
          </w:tcPr>
          <w:p w14:paraId="1C7331E7"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81.3</w:t>
            </w:r>
          </w:p>
        </w:tc>
        <w:tc>
          <w:tcPr>
            <w:tcW w:w="606" w:type="dxa"/>
            <w:vAlign w:val="center"/>
          </w:tcPr>
          <w:p w14:paraId="0A4E3C98"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72.1</w:t>
            </w:r>
          </w:p>
        </w:tc>
        <w:tc>
          <w:tcPr>
            <w:tcW w:w="607" w:type="dxa"/>
            <w:tcBorders>
              <w:top w:val="nil"/>
              <w:left w:val="nil"/>
              <w:bottom w:val="nil"/>
              <w:right w:val="single" w:sz="4" w:space="0" w:color="003299"/>
              <w:tl2br w:val="nil"/>
              <w:tr2bl w:val="nil"/>
            </w:tcBorders>
            <w:vAlign w:val="center"/>
          </w:tcPr>
          <w:p w14:paraId="7677463E"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70.2</w:t>
            </w:r>
          </w:p>
        </w:tc>
        <w:tc>
          <w:tcPr>
            <w:tcW w:w="607" w:type="dxa"/>
            <w:tcBorders>
              <w:left w:val="single" w:sz="4" w:space="0" w:color="003299"/>
            </w:tcBorders>
            <w:noWrap/>
            <w:vAlign w:val="center"/>
            <w:hideMark/>
          </w:tcPr>
          <w:p w14:paraId="58CEAD1C"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-0.1</w:t>
            </w:r>
          </w:p>
        </w:tc>
        <w:tc>
          <w:tcPr>
            <w:tcW w:w="606" w:type="dxa"/>
            <w:noWrap/>
            <w:vAlign w:val="center"/>
            <w:hideMark/>
          </w:tcPr>
          <w:p w14:paraId="0BD3FD4B"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30.1</w:t>
            </w:r>
          </w:p>
        </w:tc>
        <w:tc>
          <w:tcPr>
            <w:tcW w:w="607" w:type="dxa"/>
            <w:noWrap/>
            <w:vAlign w:val="center"/>
            <w:hideMark/>
          </w:tcPr>
          <w:p w14:paraId="5EA8CBDC"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15.2</w:t>
            </w:r>
          </w:p>
        </w:tc>
        <w:tc>
          <w:tcPr>
            <w:tcW w:w="607" w:type="dxa"/>
            <w:vAlign w:val="center"/>
          </w:tcPr>
          <w:p w14:paraId="0CA197CF"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9.7</w:t>
            </w:r>
          </w:p>
        </w:tc>
      </w:tr>
      <w:tr w:rsidR="00E24F39" w:rsidRPr="00E61BAA" w14:paraId="395F691F" w14:textId="77777777" w:rsidTr="005C7015">
        <w:trPr>
          <w:trHeight w:val="262"/>
        </w:trPr>
        <w:tc>
          <w:tcPr>
            <w:cnfStyle w:val="001000000000" w:firstRow="0" w:lastRow="0" w:firstColumn="1" w:lastColumn="0" w:oddVBand="0" w:evenVBand="0" w:oddHBand="0" w:evenHBand="0" w:firstRowFirstColumn="0" w:firstRowLastColumn="0" w:lastRowFirstColumn="0" w:lastRowLastColumn="0"/>
            <w:tcW w:w="2875" w:type="dxa"/>
            <w:hideMark/>
          </w:tcPr>
          <w:p w14:paraId="56E70EB3" w14:textId="77777777" w:rsidR="00E24F39" w:rsidRPr="00100602" w:rsidRDefault="00E24F39" w:rsidP="00100602">
            <w:pPr>
              <w:pStyle w:val="Box-Tabletext"/>
              <w:framePr w:wrap="notBeside"/>
              <w:rPr>
                <w:rStyle w:val="IntenseEmphasis"/>
              </w:rPr>
            </w:pPr>
            <w:r w:rsidRPr="005F0613">
              <w:rPr>
                <w:rStyle w:val="IntenseEmphasis"/>
              </w:rPr>
              <w:t>Natural gas prices (EUR/MWh)</w:t>
            </w:r>
          </w:p>
        </w:tc>
        <w:tc>
          <w:tcPr>
            <w:tcW w:w="606" w:type="dxa"/>
            <w:noWrap/>
            <w:vAlign w:val="center"/>
            <w:hideMark/>
          </w:tcPr>
          <w:p w14:paraId="792BDA77"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34.4</w:t>
            </w:r>
          </w:p>
        </w:tc>
        <w:tc>
          <w:tcPr>
            <w:tcW w:w="607" w:type="dxa"/>
            <w:noWrap/>
            <w:vAlign w:val="center"/>
            <w:hideMark/>
          </w:tcPr>
          <w:p w14:paraId="22690796"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36.2</w:t>
            </w:r>
          </w:p>
        </w:tc>
        <w:tc>
          <w:tcPr>
            <w:tcW w:w="607" w:type="dxa"/>
            <w:noWrap/>
            <w:vAlign w:val="center"/>
            <w:hideMark/>
          </w:tcPr>
          <w:p w14:paraId="3254BED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46.4</w:t>
            </w:r>
          </w:p>
        </w:tc>
        <w:tc>
          <w:tcPr>
            <w:tcW w:w="606" w:type="dxa"/>
            <w:vAlign w:val="center"/>
          </w:tcPr>
          <w:p w14:paraId="782909AD"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36.6</w:t>
            </w:r>
          </w:p>
        </w:tc>
        <w:tc>
          <w:tcPr>
            <w:tcW w:w="607" w:type="dxa"/>
            <w:tcBorders>
              <w:top w:val="nil"/>
              <w:left w:val="nil"/>
              <w:bottom w:val="nil"/>
              <w:right w:val="single" w:sz="4" w:space="0" w:color="003299"/>
              <w:tl2br w:val="nil"/>
              <w:tr2bl w:val="nil"/>
            </w:tcBorders>
            <w:vAlign w:val="center"/>
          </w:tcPr>
          <w:p w14:paraId="5965231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26.1</w:t>
            </w:r>
          </w:p>
        </w:tc>
        <w:tc>
          <w:tcPr>
            <w:tcW w:w="607" w:type="dxa"/>
            <w:tcBorders>
              <w:left w:val="single" w:sz="4" w:space="0" w:color="003299"/>
            </w:tcBorders>
            <w:noWrap/>
            <w:vAlign w:val="center"/>
            <w:hideMark/>
          </w:tcPr>
          <w:p w14:paraId="17FF0856"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-0.7</w:t>
            </w:r>
          </w:p>
        </w:tc>
        <w:tc>
          <w:tcPr>
            <w:tcW w:w="606" w:type="dxa"/>
            <w:noWrap/>
            <w:vAlign w:val="center"/>
            <w:hideMark/>
          </w:tcPr>
          <w:p w14:paraId="2DEF97D2"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56.6</w:t>
            </w:r>
          </w:p>
        </w:tc>
        <w:tc>
          <w:tcPr>
            <w:tcW w:w="607" w:type="dxa"/>
            <w:noWrap/>
            <w:vAlign w:val="center"/>
            <w:hideMark/>
          </w:tcPr>
          <w:p w14:paraId="5BA01F31"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33.1</w:t>
            </w:r>
          </w:p>
        </w:tc>
        <w:tc>
          <w:tcPr>
            <w:tcW w:w="607" w:type="dxa"/>
            <w:vAlign w:val="center"/>
          </w:tcPr>
          <w:p w14:paraId="28D974B7"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4.2</w:t>
            </w:r>
          </w:p>
        </w:tc>
      </w:tr>
      <w:tr w:rsidR="00E24F39" w:rsidRPr="00E61BAA" w14:paraId="33AF1221" w14:textId="77777777" w:rsidTr="005C7015">
        <w:trPr>
          <w:trHeight w:val="338"/>
        </w:trPr>
        <w:tc>
          <w:tcPr>
            <w:cnfStyle w:val="001000000000" w:firstRow="0" w:lastRow="0" w:firstColumn="1" w:lastColumn="0" w:oddVBand="0" w:evenVBand="0" w:oddHBand="0" w:evenHBand="0" w:firstRowFirstColumn="0" w:firstRowLastColumn="0" w:lastRowFirstColumn="0" w:lastRowLastColumn="0"/>
            <w:tcW w:w="2875" w:type="dxa"/>
            <w:hideMark/>
          </w:tcPr>
          <w:p w14:paraId="1C509F88" w14:textId="77777777" w:rsidR="00E24F39" w:rsidRPr="00100602" w:rsidRDefault="00E24F39" w:rsidP="00100602">
            <w:pPr>
              <w:pStyle w:val="Box-Tabletext"/>
              <w:framePr w:wrap="notBeside"/>
              <w:rPr>
                <w:rStyle w:val="IntenseEmphasis"/>
              </w:rPr>
            </w:pPr>
            <w:r w:rsidRPr="005F0613">
              <w:rPr>
                <w:rStyle w:val="IntenseEmphasis"/>
              </w:rPr>
              <w:t>Wholesale electricity prices (EUR/MWh)</w:t>
            </w:r>
          </w:p>
        </w:tc>
        <w:tc>
          <w:tcPr>
            <w:tcW w:w="606" w:type="dxa"/>
            <w:noWrap/>
            <w:vAlign w:val="center"/>
            <w:hideMark/>
          </w:tcPr>
          <w:p w14:paraId="5C04F301"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77.7</w:t>
            </w:r>
          </w:p>
        </w:tc>
        <w:tc>
          <w:tcPr>
            <w:tcW w:w="607" w:type="dxa"/>
            <w:noWrap/>
            <w:vAlign w:val="center"/>
            <w:hideMark/>
          </w:tcPr>
          <w:p w14:paraId="44EB5BF5"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83.6</w:t>
            </w:r>
          </w:p>
        </w:tc>
        <w:tc>
          <w:tcPr>
            <w:tcW w:w="607" w:type="dxa"/>
            <w:noWrap/>
            <w:vAlign w:val="center"/>
            <w:hideMark/>
          </w:tcPr>
          <w:p w14:paraId="1433A3BE"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87.7</w:t>
            </w:r>
          </w:p>
        </w:tc>
        <w:tc>
          <w:tcPr>
            <w:tcW w:w="606" w:type="dxa"/>
            <w:vAlign w:val="center"/>
          </w:tcPr>
          <w:p w14:paraId="1C1D6C6B"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77.9</w:t>
            </w:r>
          </w:p>
        </w:tc>
        <w:tc>
          <w:tcPr>
            <w:tcW w:w="607" w:type="dxa"/>
            <w:tcBorders>
              <w:top w:val="nil"/>
              <w:left w:val="nil"/>
              <w:bottom w:val="nil"/>
              <w:right w:val="single" w:sz="4" w:space="0" w:color="003299"/>
              <w:tl2br w:val="nil"/>
              <w:tr2bl w:val="nil"/>
            </w:tcBorders>
            <w:vAlign w:val="center"/>
          </w:tcPr>
          <w:p w14:paraId="2FD507C9"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65.2</w:t>
            </w:r>
          </w:p>
        </w:tc>
        <w:tc>
          <w:tcPr>
            <w:tcW w:w="607" w:type="dxa"/>
            <w:tcBorders>
              <w:left w:val="single" w:sz="4" w:space="0" w:color="003299"/>
            </w:tcBorders>
            <w:noWrap/>
            <w:vAlign w:val="center"/>
            <w:hideMark/>
          </w:tcPr>
          <w:p w14:paraId="1A98655E"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-0.4</w:t>
            </w:r>
          </w:p>
        </w:tc>
        <w:tc>
          <w:tcPr>
            <w:tcW w:w="606" w:type="dxa"/>
            <w:noWrap/>
            <w:vAlign w:val="center"/>
            <w:hideMark/>
          </w:tcPr>
          <w:p w14:paraId="6375753A"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16.8</w:t>
            </w:r>
          </w:p>
        </w:tc>
        <w:tc>
          <w:tcPr>
            <w:tcW w:w="607" w:type="dxa"/>
            <w:noWrap/>
            <w:vAlign w:val="center"/>
            <w:hideMark/>
          </w:tcPr>
          <w:p w14:paraId="2C1F271C"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5.7</w:t>
            </w:r>
          </w:p>
        </w:tc>
        <w:tc>
          <w:tcPr>
            <w:tcW w:w="607" w:type="dxa"/>
            <w:vAlign w:val="center"/>
          </w:tcPr>
          <w:p w14:paraId="422C2C5F"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-8.7</w:t>
            </w:r>
          </w:p>
        </w:tc>
      </w:tr>
      <w:tr w:rsidR="00E24F39" w:rsidRPr="00E61BAA" w14:paraId="0CFAD469" w14:textId="77777777" w:rsidTr="005C7015">
        <w:trPr>
          <w:trHeight w:val="338"/>
        </w:trPr>
        <w:tc>
          <w:tcPr>
            <w:cnfStyle w:val="001000000000" w:firstRow="0" w:lastRow="0" w:firstColumn="1" w:lastColumn="0" w:oddVBand="0" w:evenVBand="0" w:oddHBand="0" w:evenHBand="0" w:firstRowFirstColumn="0" w:firstRowLastColumn="0" w:lastRowFirstColumn="0" w:lastRowLastColumn="0"/>
            <w:tcW w:w="2875" w:type="dxa"/>
            <w:hideMark/>
          </w:tcPr>
          <w:p w14:paraId="5E5738C1" w14:textId="77777777" w:rsidR="00E24F39" w:rsidRPr="00100602" w:rsidRDefault="00E24F39" w:rsidP="00100602">
            <w:pPr>
              <w:pStyle w:val="Box-Tabletext"/>
              <w:framePr w:wrap="notBeside"/>
              <w:rPr>
                <w:rStyle w:val="IntenseEmphasis"/>
              </w:rPr>
            </w:pPr>
            <w:r w:rsidRPr="005F0613">
              <w:rPr>
                <w:rStyle w:val="IntenseEmphasis"/>
              </w:rPr>
              <w:t>EU Emissions Trading System 1 (ETS1) allowances (EUR/tonne</w:t>
            </w:r>
            <w:r>
              <w:rPr>
                <w:rStyle w:val="IntenseEmphasis"/>
              </w:rPr>
              <w:t xml:space="preserve"> of CO2</w:t>
            </w:r>
            <w:r w:rsidRPr="005F0613">
              <w:rPr>
                <w:rStyle w:val="IntenseEmphasis"/>
              </w:rPr>
              <w:t>)</w:t>
            </w:r>
          </w:p>
        </w:tc>
        <w:tc>
          <w:tcPr>
            <w:tcW w:w="606" w:type="dxa"/>
            <w:noWrap/>
            <w:vAlign w:val="center"/>
            <w:hideMark/>
          </w:tcPr>
          <w:p w14:paraId="532929DD"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65.2</w:t>
            </w:r>
          </w:p>
        </w:tc>
        <w:tc>
          <w:tcPr>
            <w:tcW w:w="607" w:type="dxa"/>
            <w:noWrap/>
            <w:vAlign w:val="center"/>
            <w:hideMark/>
          </w:tcPr>
          <w:p w14:paraId="6D37F6BF"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73.9</w:t>
            </w:r>
          </w:p>
        </w:tc>
        <w:tc>
          <w:tcPr>
            <w:tcW w:w="607" w:type="dxa"/>
            <w:noWrap/>
            <w:vAlign w:val="center"/>
            <w:hideMark/>
          </w:tcPr>
          <w:p w14:paraId="1701FA12"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72.9</w:t>
            </w:r>
          </w:p>
        </w:tc>
        <w:tc>
          <w:tcPr>
            <w:tcW w:w="606" w:type="dxa"/>
            <w:vAlign w:val="center"/>
          </w:tcPr>
          <w:p w14:paraId="41E3419B"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73.4</w:t>
            </w:r>
          </w:p>
        </w:tc>
        <w:tc>
          <w:tcPr>
            <w:tcW w:w="607" w:type="dxa"/>
            <w:tcBorders>
              <w:top w:val="nil"/>
              <w:left w:val="nil"/>
              <w:bottom w:val="nil"/>
              <w:right w:val="single" w:sz="4" w:space="0" w:color="003299"/>
              <w:tl2br w:val="nil"/>
              <w:tr2bl w:val="nil"/>
            </w:tcBorders>
            <w:vAlign w:val="center"/>
          </w:tcPr>
          <w:p w14:paraId="4658B292"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75.5</w:t>
            </w:r>
          </w:p>
        </w:tc>
        <w:tc>
          <w:tcPr>
            <w:tcW w:w="607" w:type="dxa"/>
            <w:tcBorders>
              <w:left w:val="single" w:sz="4" w:space="0" w:color="003299"/>
            </w:tcBorders>
            <w:noWrap/>
            <w:vAlign w:val="center"/>
            <w:hideMark/>
          </w:tcPr>
          <w:p w14:paraId="53C76E05"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0.2</w:t>
            </w:r>
          </w:p>
        </w:tc>
        <w:tc>
          <w:tcPr>
            <w:tcW w:w="606" w:type="dxa"/>
            <w:noWrap/>
            <w:vAlign w:val="center"/>
            <w:hideMark/>
          </w:tcPr>
          <w:p w14:paraId="24D48DA2"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-11.9</w:t>
            </w:r>
          </w:p>
        </w:tc>
        <w:tc>
          <w:tcPr>
            <w:tcW w:w="607" w:type="dxa"/>
            <w:noWrap/>
            <w:vAlign w:val="center"/>
            <w:hideMark/>
          </w:tcPr>
          <w:p w14:paraId="094A553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-13.8</w:t>
            </w:r>
          </w:p>
        </w:tc>
        <w:tc>
          <w:tcPr>
            <w:tcW w:w="607" w:type="dxa"/>
            <w:vAlign w:val="center"/>
          </w:tcPr>
          <w:p w14:paraId="03B334BC"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-13.8</w:t>
            </w:r>
          </w:p>
        </w:tc>
      </w:tr>
      <w:tr w:rsidR="00E24F39" w:rsidRPr="00E61BAA" w14:paraId="16CD0D55" w14:textId="77777777" w:rsidTr="005C7015">
        <w:trPr>
          <w:trHeight w:val="338"/>
        </w:trPr>
        <w:tc>
          <w:tcPr>
            <w:cnfStyle w:val="001000000000" w:firstRow="0" w:lastRow="0" w:firstColumn="1" w:lastColumn="0" w:oddVBand="0" w:evenVBand="0" w:oddHBand="0" w:evenHBand="0" w:firstRowFirstColumn="0" w:firstRowLastColumn="0" w:lastRowFirstColumn="0" w:lastRowLastColumn="0"/>
            <w:tcW w:w="2875" w:type="dxa"/>
          </w:tcPr>
          <w:p w14:paraId="0DB377E5" w14:textId="77777777" w:rsidR="00E24F39" w:rsidRPr="00100602" w:rsidRDefault="00E24F39" w:rsidP="00100602">
            <w:pPr>
              <w:pStyle w:val="Box-Tabletext"/>
              <w:framePr w:wrap="notBeside"/>
              <w:rPr>
                <w:rStyle w:val="IntenseEmphasis"/>
              </w:rPr>
            </w:pPr>
            <w:r w:rsidRPr="005F0613">
              <w:rPr>
                <w:rStyle w:val="IntenseEmphasis"/>
              </w:rPr>
              <w:t>EU Emissions Trading System 2 (ETS2) allowances (EUR/tonne</w:t>
            </w:r>
            <w:r>
              <w:rPr>
                <w:rStyle w:val="IntenseEmphasis"/>
              </w:rPr>
              <w:t xml:space="preserve"> of CO2</w:t>
            </w:r>
            <w:r w:rsidRPr="005F0613">
              <w:rPr>
                <w:rStyle w:val="IntenseEmphasis"/>
              </w:rPr>
              <w:t>)</w:t>
            </w:r>
          </w:p>
        </w:tc>
        <w:tc>
          <w:tcPr>
            <w:tcW w:w="606" w:type="dxa"/>
            <w:noWrap/>
            <w:vAlign w:val="center"/>
          </w:tcPr>
          <w:p w14:paraId="390B451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w:t>
            </w:r>
          </w:p>
        </w:tc>
        <w:tc>
          <w:tcPr>
            <w:tcW w:w="607" w:type="dxa"/>
            <w:noWrap/>
            <w:vAlign w:val="center"/>
          </w:tcPr>
          <w:p w14:paraId="00654B7C"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w:t>
            </w:r>
          </w:p>
        </w:tc>
        <w:tc>
          <w:tcPr>
            <w:tcW w:w="607" w:type="dxa"/>
            <w:noWrap/>
            <w:vAlign w:val="center"/>
          </w:tcPr>
          <w:p w14:paraId="490D914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w:t>
            </w:r>
          </w:p>
        </w:tc>
        <w:tc>
          <w:tcPr>
            <w:tcW w:w="606" w:type="dxa"/>
            <w:vAlign w:val="center"/>
          </w:tcPr>
          <w:p w14:paraId="288AA08B"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w:t>
            </w:r>
          </w:p>
        </w:tc>
        <w:tc>
          <w:tcPr>
            <w:tcW w:w="607" w:type="dxa"/>
            <w:tcBorders>
              <w:top w:val="nil"/>
              <w:left w:val="nil"/>
              <w:bottom w:val="nil"/>
              <w:right w:val="single" w:sz="4" w:space="0" w:color="003299"/>
              <w:tl2br w:val="nil"/>
              <w:tr2bl w:val="nil"/>
            </w:tcBorders>
            <w:vAlign w:val="center"/>
          </w:tcPr>
          <w:p w14:paraId="693DB741"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46.0</w:t>
            </w:r>
          </w:p>
        </w:tc>
        <w:tc>
          <w:tcPr>
            <w:tcW w:w="607" w:type="dxa"/>
            <w:tcBorders>
              <w:left w:val="single" w:sz="4" w:space="0" w:color="003299"/>
            </w:tcBorders>
            <w:noWrap/>
            <w:vAlign w:val="center"/>
          </w:tcPr>
          <w:p w14:paraId="7FAC32BE"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w:t>
            </w:r>
          </w:p>
        </w:tc>
        <w:tc>
          <w:tcPr>
            <w:tcW w:w="606" w:type="dxa"/>
            <w:noWrap/>
            <w:vAlign w:val="center"/>
          </w:tcPr>
          <w:p w14:paraId="0C23A614"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w:t>
            </w:r>
          </w:p>
        </w:tc>
        <w:tc>
          <w:tcPr>
            <w:tcW w:w="607" w:type="dxa"/>
            <w:noWrap/>
            <w:vAlign w:val="center"/>
          </w:tcPr>
          <w:p w14:paraId="4EA6F4E7"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w:t>
            </w:r>
          </w:p>
        </w:tc>
        <w:tc>
          <w:tcPr>
            <w:tcW w:w="607" w:type="dxa"/>
            <w:vAlign w:val="center"/>
          </w:tcPr>
          <w:p w14:paraId="760E1F2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0.0</w:t>
            </w:r>
          </w:p>
        </w:tc>
      </w:tr>
      <w:tr w:rsidR="00E24F39" w:rsidRPr="00E61BAA" w14:paraId="5F967E1D" w14:textId="77777777" w:rsidTr="005C7015">
        <w:trPr>
          <w:trHeight w:val="338"/>
        </w:trPr>
        <w:tc>
          <w:tcPr>
            <w:cnfStyle w:val="001000000000" w:firstRow="0" w:lastRow="0" w:firstColumn="1" w:lastColumn="0" w:oddVBand="0" w:evenVBand="0" w:oddHBand="0" w:evenHBand="0" w:firstRowFirstColumn="0" w:firstRowLastColumn="0" w:lastRowFirstColumn="0" w:lastRowLastColumn="0"/>
            <w:tcW w:w="2875" w:type="dxa"/>
            <w:hideMark/>
          </w:tcPr>
          <w:p w14:paraId="53852F59" w14:textId="77777777" w:rsidR="00E24F39" w:rsidRPr="00100602" w:rsidRDefault="00E24F39" w:rsidP="00100602">
            <w:pPr>
              <w:pStyle w:val="Box-Tabletext"/>
              <w:framePr w:wrap="notBeside"/>
              <w:rPr>
                <w:rStyle w:val="IntenseEmphasis"/>
              </w:rPr>
            </w:pPr>
            <w:r w:rsidRPr="005F0613">
              <w:rPr>
                <w:rStyle w:val="IntenseEmphasis"/>
              </w:rPr>
              <w:t>Non-energy commodity prices, in USD (annual percentage change)</w:t>
            </w:r>
          </w:p>
        </w:tc>
        <w:tc>
          <w:tcPr>
            <w:tcW w:w="606" w:type="dxa"/>
            <w:noWrap/>
            <w:vAlign w:val="center"/>
            <w:hideMark/>
          </w:tcPr>
          <w:p w14:paraId="37764F6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9.2</w:t>
            </w:r>
          </w:p>
        </w:tc>
        <w:tc>
          <w:tcPr>
            <w:tcW w:w="607" w:type="dxa"/>
            <w:noWrap/>
            <w:vAlign w:val="center"/>
            <w:hideMark/>
          </w:tcPr>
          <w:p w14:paraId="50D04B9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5.8</w:t>
            </w:r>
          </w:p>
        </w:tc>
        <w:tc>
          <w:tcPr>
            <w:tcW w:w="607" w:type="dxa"/>
            <w:noWrap/>
            <w:vAlign w:val="center"/>
            <w:hideMark/>
          </w:tcPr>
          <w:p w14:paraId="61F03299"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0.8</w:t>
            </w:r>
          </w:p>
        </w:tc>
        <w:tc>
          <w:tcPr>
            <w:tcW w:w="606" w:type="dxa"/>
            <w:vAlign w:val="center"/>
          </w:tcPr>
          <w:p w14:paraId="56D1FC82"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0.5</w:t>
            </w:r>
          </w:p>
        </w:tc>
        <w:tc>
          <w:tcPr>
            <w:tcW w:w="607" w:type="dxa"/>
            <w:tcBorders>
              <w:top w:val="nil"/>
              <w:left w:val="nil"/>
              <w:bottom w:val="nil"/>
              <w:right w:val="single" w:sz="4" w:space="0" w:color="003299"/>
              <w:tl2br w:val="nil"/>
              <w:tr2bl w:val="nil"/>
            </w:tcBorders>
            <w:vAlign w:val="center"/>
          </w:tcPr>
          <w:p w14:paraId="50D0FAC4"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-0.6</w:t>
            </w:r>
          </w:p>
        </w:tc>
        <w:tc>
          <w:tcPr>
            <w:tcW w:w="607" w:type="dxa"/>
            <w:tcBorders>
              <w:left w:val="single" w:sz="4" w:space="0" w:color="003299"/>
            </w:tcBorders>
            <w:noWrap/>
            <w:vAlign w:val="center"/>
            <w:hideMark/>
          </w:tcPr>
          <w:p w14:paraId="7C310E7C"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0.1</w:t>
            </w:r>
          </w:p>
        </w:tc>
        <w:tc>
          <w:tcPr>
            <w:tcW w:w="606" w:type="dxa"/>
            <w:noWrap/>
            <w:vAlign w:val="center"/>
            <w:hideMark/>
          </w:tcPr>
          <w:p w14:paraId="0105B0B9"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0.7</w:t>
            </w:r>
          </w:p>
        </w:tc>
        <w:tc>
          <w:tcPr>
            <w:tcW w:w="607" w:type="dxa"/>
            <w:noWrap/>
            <w:vAlign w:val="center"/>
            <w:hideMark/>
          </w:tcPr>
          <w:p w14:paraId="52595E7B"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0.0</w:t>
            </w:r>
          </w:p>
        </w:tc>
        <w:tc>
          <w:tcPr>
            <w:tcW w:w="607" w:type="dxa"/>
            <w:vAlign w:val="center"/>
          </w:tcPr>
          <w:p w14:paraId="498A7425"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-0.3</w:t>
            </w:r>
          </w:p>
        </w:tc>
      </w:tr>
      <w:tr w:rsidR="00E24F39" w:rsidRPr="00E61BAA" w14:paraId="73593163" w14:textId="77777777" w:rsidTr="005C7015">
        <w:trPr>
          <w:trHeight w:val="262"/>
        </w:trPr>
        <w:tc>
          <w:tcPr>
            <w:cnfStyle w:val="001000000000" w:firstRow="0" w:lastRow="0" w:firstColumn="1" w:lastColumn="0" w:oddVBand="0" w:evenVBand="0" w:oddHBand="0" w:evenHBand="0" w:firstRowFirstColumn="0" w:firstRowLastColumn="0" w:lastRowFirstColumn="0" w:lastRowLastColumn="0"/>
            <w:tcW w:w="2875" w:type="dxa"/>
            <w:hideMark/>
          </w:tcPr>
          <w:p w14:paraId="2B711419" w14:textId="77777777" w:rsidR="00E24F39" w:rsidRPr="00100602" w:rsidRDefault="00E24F39" w:rsidP="00100602">
            <w:pPr>
              <w:pStyle w:val="Box-Tabletext"/>
              <w:framePr w:wrap="notBeside"/>
            </w:pPr>
            <w:r w:rsidRPr="005F0613">
              <w:t>Exchange rates:</w:t>
            </w:r>
          </w:p>
        </w:tc>
        <w:tc>
          <w:tcPr>
            <w:tcW w:w="606" w:type="dxa"/>
            <w:noWrap/>
            <w:vAlign w:val="center"/>
            <w:hideMark/>
          </w:tcPr>
          <w:p w14:paraId="2C1CDCB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noWrap/>
            <w:vAlign w:val="center"/>
            <w:hideMark/>
          </w:tcPr>
          <w:p w14:paraId="6A4B7BCB"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noWrap/>
            <w:vAlign w:val="center"/>
            <w:hideMark/>
          </w:tcPr>
          <w:p w14:paraId="6CD9007F"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6" w:type="dxa"/>
            <w:vAlign w:val="center"/>
          </w:tcPr>
          <w:p w14:paraId="5BF4FB9A"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tcBorders>
              <w:top w:val="nil"/>
              <w:left w:val="nil"/>
              <w:bottom w:val="nil"/>
              <w:right w:val="single" w:sz="4" w:space="0" w:color="003299"/>
              <w:tl2br w:val="nil"/>
              <w:tr2bl w:val="nil"/>
            </w:tcBorders>
            <w:vAlign w:val="center"/>
          </w:tcPr>
          <w:p w14:paraId="60651956"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tcBorders>
              <w:left w:val="single" w:sz="4" w:space="0" w:color="003299"/>
            </w:tcBorders>
            <w:noWrap/>
            <w:vAlign w:val="center"/>
            <w:hideMark/>
          </w:tcPr>
          <w:p w14:paraId="2189E2A4"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6" w:type="dxa"/>
            <w:noWrap/>
            <w:vAlign w:val="center"/>
            <w:hideMark/>
          </w:tcPr>
          <w:p w14:paraId="41C884B8"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noWrap/>
            <w:vAlign w:val="center"/>
            <w:hideMark/>
          </w:tcPr>
          <w:p w14:paraId="44986A3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vAlign w:val="center"/>
          </w:tcPr>
          <w:p w14:paraId="262EFAD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r>
      <w:tr w:rsidR="00E24F39" w:rsidRPr="00E61BAA" w14:paraId="54C8B4C1" w14:textId="77777777" w:rsidTr="005C7015">
        <w:trPr>
          <w:trHeight w:val="262"/>
        </w:trPr>
        <w:tc>
          <w:tcPr>
            <w:cnfStyle w:val="001000000000" w:firstRow="0" w:lastRow="0" w:firstColumn="1" w:lastColumn="0" w:oddVBand="0" w:evenVBand="0" w:oddHBand="0" w:evenHBand="0" w:firstRowFirstColumn="0" w:firstRowLastColumn="0" w:lastRowFirstColumn="0" w:lastRowLastColumn="0"/>
            <w:tcW w:w="2875" w:type="dxa"/>
            <w:hideMark/>
          </w:tcPr>
          <w:p w14:paraId="3FC8A0C5" w14:textId="77777777" w:rsidR="00E24F39" w:rsidRPr="00100602" w:rsidRDefault="00E24F39" w:rsidP="00100602">
            <w:pPr>
              <w:pStyle w:val="Box-Tabletext"/>
              <w:framePr w:wrap="notBeside"/>
              <w:rPr>
                <w:rStyle w:val="IntenseEmphasis"/>
              </w:rPr>
            </w:pPr>
            <w:r w:rsidRPr="005F0613">
              <w:rPr>
                <w:rStyle w:val="IntenseEmphasis"/>
              </w:rPr>
              <w:t>USD/EUR exchange rate</w:t>
            </w:r>
          </w:p>
        </w:tc>
        <w:tc>
          <w:tcPr>
            <w:tcW w:w="606" w:type="dxa"/>
            <w:noWrap/>
            <w:vAlign w:val="center"/>
            <w:hideMark/>
          </w:tcPr>
          <w:p w14:paraId="0ECC7E82"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1.08</w:t>
            </w:r>
          </w:p>
        </w:tc>
        <w:tc>
          <w:tcPr>
            <w:tcW w:w="607" w:type="dxa"/>
            <w:noWrap/>
            <w:vAlign w:val="center"/>
            <w:hideMark/>
          </w:tcPr>
          <w:p w14:paraId="561E0C01"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1.13</w:t>
            </w:r>
          </w:p>
        </w:tc>
        <w:tc>
          <w:tcPr>
            <w:tcW w:w="607" w:type="dxa"/>
            <w:noWrap/>
            <w:vAlign w:val="center"/>
            <w:hideMark/>
          </w:tcPr>
          <w:p w14:paraId="59BF66D7"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1.16</w:t>
            </w:r>
          </w:p>
        </w:tc>
        <w:tc>
          <w:tcPr>
            <w:tcW w:w="606" w:type="dxa"/>
            <w:vAlign w:val="center"/>
          </w:tcPr>
          <w:p w14:paraId="1ED9363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1.16</w:t>
            </w:r>
          </w:p>
        </w:tc>
        <w:tc>
          <w:tcPr>
            <w:tcW w:w="607" w:type="dxa"/>
            <w:tcBorders>
              <w:top w:val="nil"/>
              <w:left w:val="nil"/>
              <w:bottom w:val="nil"/>
              <w:right w:val="single" w:sz="4" w:space="0" w:color="003299"/>
              <w:tl2br w:val="nil"/>
              <w:tr2bl w:val="nil"/>
            </w:tcBorders>
            <w:vAlign w:val="center"/>
          </w:tcPr>
          <w:p w14:paraId="0E01122E"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1.16</w:t>
            </w:r>
          </w:p>
        </w:tc>
        <w:tc>
          <w:tcPr>
            <w:tcW w:w="607" w:type="dxa"/>
            <w:tcBorders>
              <w:left w:val="single" w:sz="4" w:space="0" w:color="003299"/>
            </w:tcBorders>
            <w:noWrap/>
            <w:vAlign w:val="center"/>
            <w:hideMark/>
          </w:tcPr>
          <w:p w14:paraId="5A232568"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0.1</w:t>
            </w:r>
          </w:p>
        </w:tc>
        <w:tc>
          <w:tcPr>
            <w:tcW w:w="606" w:type="dxa"/>
            <w:noWrap/>
            <w:vAlign w:val="center"/>
            <w:hideMark/>
          </w:tcPr>
          <w:p w14:paraId="115EF78D"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0.4</w:t>
            </w:r>
          </w:p>
        </w:tc>
        <w:tc>
          <w:tcPr>
            <w:tcW w:w="607" w:type="dxa"/>
            <w:noWrap/>
            <w:vAlign w:val="center"/>
            <w:hideMark/>
          </w:tcPr>
          <w:p w14:paraId="034B9DDD"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0.2</w:t>
            </w:r>
          </w:p>
        </w:tc>
        <w:tc>
          <w:tcPr>
            <w:tcW w:w="607" w:type="dxa"/>
            <w:vAlign w:val="center"/>
          </w:tcPr>
          <w:p w14:paraId="06F3DF4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0.2</w:t>
            </w:r>
          </w:p>
        </w:tc>
      </w:tr>
      <w:tr w:rsidR="00E24F39" w:rsidRPr="00E61BAA" w14:paraId="0431CC7E" w14:textId="77777777" w:rsidTr="005C7015">
        <w:trPr>
          <w:trHeight w:val="338"/>
        </w:trPr>
        <w:tc>
          <w:tcPr>
            <w:cnfStyle w:val="001000000000" w:firstRow="0" w:lastRow="0" w:firstColumn="1" w:lastColumn="0" w:oddVBand="0" w:evenVBand="0" w:oddHBand="0" w:evenHBand="0" w:firstRowFirstColumn="0" w:firstRowLastColumn="0" w:lastRowFirstColumn="0" w:lastRowLastColumn="0"/>
            <w:tcW w:w="2875" w:type="dxa"/>
            <w:hideMark/>
          </w:tcPr>
          <w:p w14:paraId="32CB2F6A" w14:textId="77777777" w:rsidR="00E24F39" w:rsidRPr="00100602" w:rsidRDefault="00E24F39" w:rsidP="00100602">
            <w:pPr>
              <w:pStyle w:val="Box-Tabletext"/>
              <w:framePr w:wrap="notBeside"/>
              <w:rPr>
                <w:rStyle w:val="IntenseEmphasis"/>
              </w:rPr>
            </w:pPr>
            <w:r w:rsidRPr="005F0613">
              <w:rPr>
                <w:rStyle w:val="IntenseEmphasis"/>
              </w:rPr>
              <w:t>Euro nominal effective exchange rate (EER40) (Q1 1999 = 100)</w:t>
            </w:r>
          </w:p>
        </w:tc>
        <w:tc>
          <w:tcPr>
            <w:tcW w:w="606" w:type="dxa"/>
            <w:noWrap/>
            <w:vAlign w:val="center"/>
            <w:hideMark/>
          </w:tcPr>
          <w:p w14:paraId="37E6C1DC"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124.4</w:t>
            </w:r>
          </w:p>
        </w:tc>
        <w:tc>
          <w:tcPr>
            <w:tcW w:w="607" w:type="dxa"/>
            <w:noWrap/>
            <w:vAlign w:val="center"/>
            <w:hideMark/>
          </w:tcPr>
          <w:p w14:paraId="2AA7F249"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128.3</w:t>
            </w:r>
          </w:p>
        </w:tc>
        <w:tc>
          <w:tcPr>
            <w:tcW w:w="607" w:type="dxa"/>
            <w:noWrap/>
            <w:vAlign w:val="center"/>
            <w:hideMark/>
          </w:tcPr>
          <w:p w14:paraId="08069A7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129.6</w:t>
            </w:r>
          </w:p>
        </w:tc>
        <w:tc>
          <w:tcPr>
            <w:tcW w:w="606" w:type="dxa"/>
            <w:vAlign w:val="center"/>
          </w:tcPr>
          <w:p w14:paraId="005F6BD8"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129.4</w:t>
            </w:r>
          </w:p>
        </w:tc>
        <w:tc>
          <w:tcPr>
            <w:tcW w:w="607" w:type="dxa"/>
            <w:tcBorders>
              <w:top w:val="nil"/>
              <w:left w:val="nil"/>
              <w:bottom w:val="nil"/>
              <w:right w:val="single" w:sz="4" w:space="0" w:color="003299"/>
              <w:tl2br w:val="nil"/>
              <w:tr2bl w:val="nil"/>
            </w:tcBorders>
            <w:vAlign w:val="center"/>
          </w:tcPr>
          <w:p w14:paraId="67B8F6F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129.4</w:t>
            </w:r>
          </w:p>
        </w:tc>
        <w:tc>
          <w:tcPr>
            <w:tcW w:w="607" w:type="dxa"/>
            <w:tcBorders>
              <w:left w:val="single" w:sz="4" w:space="0" w:color="003299"/>
            </w:tcBorders>
            <w:noWrap/>
            <w:vAlign w:val="center"/>
            <w:hideMark/>
          </w:tcPr>
          <w:p w14:paraId="3DE63B3E"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0.5</w:t>
            </w:r>
          </w:p>
        </w:tc>
        <w:tc>
          <w:tcPr>
            <w:tcW w:w="606" w:type="dxa"/>
            <w:noWrap/>
            <w:vAlign w:val="center"/>
            <w:hideMark/>
          </w:tcPr>
          <w:p w14:paraId="447B8A85"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-0.1</w:t>
            </w:r>
          </w:p>
        </w:tc>
        <w:tc>
          <w:tcPr>
            <w:tcW w:w="607" w:type="dxa"/>
            <w:noWrap/>
            <w:vAlign w:val="center"/>
            <w:hideMark/>
          </w:tcPr>
          <w:p w14:paraId="527DF7B7"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-0.3</w:t>
            </w:r>
          </w:p>
        </w:tc>
        <w:tc>
          <w:tcPr>
            <w:tcW w:w="607" w:type="dxa"/>
            <w:vAlign w:val="center"/>
          </w:tcPr>
          <w:p w14:paraId="45951ACC"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-0.3</w:t>
            </w:r>
          </w:p>
        </w:tc>
      </w:tr>
      <w:tr w:rsidR="00E24F39" w:rsidRPr="00E61BAA" w14:paraId="1AA62A79" w14:textId="77777777" w:rsidTr="005C7015">
        <w:trPr>
          <w:trHeight w:val="262"/>
        </w:trPr>
        <w:tc>
          <w:tcPr>
            <w:cnfStyle w:val="001000000000" w:firstRow="0" w:lastRow="0" w:firstColumn="1" w:lastColumn="0" w:oddVBand="0" w:evenVBand="0" w:oddHBand="0" w:evenHBand="0" w:firstRowFirstColumn="0" w:firstRowLastColumn="0" w:lastRowFirstColumn="0" w:lastRowLastColumn="0"/>
            <w:tcW w:w="2875" w:type="dxa"/>
            <w:hideMark/>
          </w:tcPr>
          <w:p w14:paraId="057EC316" w14:textId="77777777" w:rsidR="00E24F39" w:rsidRPr="00100602" w:rsidRDefault="00E24F39" w:rsidP="00100602">
            <w:pPr>
              <w:pStyle w:val="Box-Tabletext"/>
              <w:framePr w:wrap="notBeside"/>
            </w:pPr>
            <w:r w:rsidRPr="005F0613">
              <w:t>Financial assumptions:</w:t>
            </w:r>
          </w:p>
        </w:tc>
        <w:tc>
          <w:tcPr>
            <w:tcW w:w="606" w:type="dxa"/>
            <w:noWrap/>
            <w:vAlign w:val="center"/>
            <w:hideMark/>
          </w:tcPr>
          <w:p w14:paraId="6B0ED724"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noWrap/>
            <w:vAlign w:val="center"/>
            <w:hideMark/>
          </w:tcPr>
          <w:p w14:paraId="33606A1A"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noWrap/>
            <w:vAlign w:val="center"/>
            <w:hideMark/>
          </w:tcPr>
          <w:p w14:paraId="14D3423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6" w:type="dxa"/>
            <w:vAlign w:val="center"/>
          </w:tcPr>
          <w:p w14:paraId="079EDDA5"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tcBorders>
              <w:top w:val="nil"/>
              <w:left w:val="nil"/>
              <w:bottom w:val="nil"/>
              <w:right w:val="single" w:sz="4" w:space="0" w:color="003299"/>
              <w:tl2br w:val="nil"/>
              <w:tr2bl w:val="nil"/>
            </w:tcBorders>
            <w:vAlign w:val="center"/>
          </w:tcPr>
          <w:p w14:paraId="74A9AAE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tcBorders>
              <w:left w:val="single" w:sz="4" w:space="0" w:color="003299"/>
            </w:tcBorders>
            <w:noWrap/>
            <w:vAlign w:val="center"/>
            <w:hideMark/>
          </w:tcPr>
          <w:p w14:paraId="2C0D4C76"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6" w:type="dxa"/>
            <w:noWrap/>
            <w:vAlign w:val="center"/>
            <w:hideMark/>
          </w:tcPr>
          <w:p w14:paraId="153B12BA"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noWrap/>
            <w:vAlign w:val="center"/>
            <w:hideMark/>
          </w:tcPr>
          <w:p w14:paraId="164A2478"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c>
          <w:tcPr>
            <w:tcW w:w="607" w:type="dxa"/>
            <w:vAlign w:val="center"/>
          </w:tcPr>
          <w:p w14:paraId="3565BA3B"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 </w:t>
            </w:r>
          </w:p>
        </w:tc>
      </w:tr>
      <w:tr w:rsidR="00E24F39" w:rsidRPr="00E61BAA" w14:paraId="604CB2B6" w14:textId="77777777" w:rsidTr="005C7015">
        <w:trPr>
          <w:trHeight w:val="338"/>
        </w:trPr>
        <w:tc>
          <w:tcPr>
            <w:cnfStyle w:val="001000000000" w:firstRow="0" w:lastRow="0" w:firstColumn="1" w:lastColumn="0" w:oddVBand="0" w:evenVBand="0" w:oddHBand="0" w:evenHBand="0" w:firstRowFirstColumn="0" w:firstRowLastColumn="0" w:lastRowFirstColumn="0" w:lastRowLastColumn="0"/>
            <w:tcW w:w="2875" w:type="dxa"/>
            <w:hideMark/>
          </w:tcPr>
          <w:p w14:paraId="73B830E8" w14:textId="77777777" w:rsidR="00E24F39" w:rsidRPr="00100602" w:rsidRDefault="00E24F39" w:rsidP="00100602">
            <w:pPr>
              <w:pStyle w:val="Box-Tabletext"/>
              <w:framePr w:wrap="notBeside"/>
              <w:rPr>
                <w:rStyle w:val="IntenseEmphasis"/>
              </w:rPr>
            </w:pPr>
            <w:r w:rsidRPr="005F0613">
              <w:rPr>
                <w:rStyle w:val="IntenseEmphasis"/>
              </w:rPr>
              <w:t>Three-month EURIBOR (percentage per annum)</w:t>
            </w:r>
          </w:p>
        </w:tc>
        <w:tc>
          <w:tcPr>
            <w:tcW w:w="606" w:type="dxa"/>
            <w:noWrap/>
            <w:vAlign w:val="center"/>
            <w:hideMark/>
          </w:tcPr>
          <w:p w14:paraId="7C392306"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3.6</w:t>
            </w:r>
          </w:p>
        </w:tc>
        <w:tc>
          <w:tcPr>
            <w:tcW w:w="607" w:type="dxa"/>
            <w:noWrap/>
            <w:vAlign w:val="center"/>
            <w:hideMark/>
          </w:tcPr>
          <w:p w14:paraId="37018901"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2.2</w:t>
            </w:r>
          </w:p>
        </w:tc>
        <w:tc>
          <w:tcPr>
            <w:tcW w:w="607" w:type="dxa"/>
            <w:noWrap/>
            <w:vAlign w:val="center"/>
            <w:hideMark/>
          </w:tcPr>
          <w:p w14:paraId="50F1AD86"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2.3</w:t>
            </w:r>
          </w:p>
        </w:tc>
        <w:tc>
          <w:tcPr>
            <w:tcW w:w="606" w:type="dxa"/>
            <w:vAlign w:val="center"/>
          </w:tcPr>
          <w:p w14:paraId="629AD66D"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2.6</w:t>
            </w:r>
          </w:p>
        </w:tc>
        <w:tc>
          <w:tcPr>
            <w:tcW w:w="607" w:type="dxa"/>
            <w:tcBorders>
              <w:top w:val="nil"/>
              <w:left w:val="nil"/>
              <w:bottom w:val="nil"/>
              <w:right w:val="single" w:sz="4" w:space="0" w:color="003299"/>
              <w:tl2br w:val="nil"/>
              <w:tr2bl w:val="nil"/>
            </w:tcBorders>
            <w:vAlign w:val="center"/>
          </w:tcPr>
          <w:p w14:paraId="6921114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2.6</w:t>
            </w:r>
          </w:p>
        </w:tc>
        <w:tc>
          <w:tcPr>
            <w:tcW w:w="607" w:type="dxa"/>
            <w:tcBorders>
              <w:left w:val="single" w:sz="4" w:space="0" w:color="003299"/>
            </w:tcBorders>
            <w:noWrap/>
            <w:vAlign w:val="center"/>
            <w:hideMark/>
          </w:tcPr>
          <w:p w14:paraId="349FB58B"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0.0</w:t>
            </w:r>
          </w:p>
        </w:tc>
        <w:tc>
          <w:tcPr>
            <w:tcW w:w="606" w:type="dxa"/>
            <w:noWrap/>
            <w:vAlign w:val="center"/>
            <w:hideMark/>
          </w:tcPr>
          <w:p w14:paraId="6E04618C"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0.3</w:t>
            </w:r>
          </w:p>
        </w:tc>
        <w:tc>
          <w:tcPr>
            <w:tcW w:w="607" w:type="dxa"/>
            <w:noWrap/>
            <w:vAlign w:val="center"/>
            <w:hideMark/>
          </w:tcPr>
          <w:p w14:paraId="391F1FB6"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0.5</w:t>
            </w:r>
          </w:p>
        </w:tc>
        <w:tc>
          <w:tcPr>
            <w:tcW w:w="607" w:type="dxa"/>
            <w:vAlign w:val="center"/>
          </w:tcPr>
          <w:p w14:paraId="7A1059A9"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0.3</w:t>
            </w:r>
          </w:p>
        </w:tc>
      </w:tr>
      <w:tr w:rsidR="00E24F39" w:rsidRPr="00E61BAA" w14:paraId="43F2C8D4" w14:textId="77777777" w:rsidTr="005C7015">
        <w:trPr>
          <w:trHeight w:val="338"/>
        </w:trPr>
        <w:tc>
          <w:tcPr>
            <w:cnfStyle w:val="001000000000" w:firstRow="0" w:lastRow="0" w:firstColumn="1" w:lastColumn="0" w:oddVBand="0" w:evenVBand="0" w:oddHBand="0" w:evenHBand="0" w:firstRowFirstColumn="0" w:firstRowLastColumn="0" w:lastRowFirstColumn="0" w:lastRowLastColumn="0"/>
            <w:tcW w:w="2875" w:type="dxa"/>
            <w:hideMark/>
          </w:tcPr>
          <w:p w14:paraId="7970D5F1" w14:textId="77777777" w:rsidR="00E24F39" w:rsidRPr="00100602" w:rsidRDefault="00E24F39" w:rsidP="00100602">
            <w:pPr>
              <w:pStyle w:val="Box-Tabletext"/>
              <w:framePr w:wrap="notBeside"/>
              <w:rPr>
                <w:rStyle w:val="IntenseEmphasis"/>
              </w:rPr>
            </w:pPr>
            <w:r w:rsidRPr="005F0613">
              <w:rPr>
                <w:rStyle w:val="IntenseEmphasis"/>
              </w:rPr>
              <w:t>Ten-year government bond yields (percentage per annum)</w:t>
            </w:r>
          </w:p>
        </w:tc>
        <w:tc>
          <w:tcPr>
            <w:tcW w:w="606" w:type="dxa"/>
            <w:noWrap/>
            <w:vAlign w:val="center"/>
            <w:hideMark/>
          </w:tcPr>
          <w:p w14:paraId="78CC78FB"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2.9</w:t>
            </w:r>
          </w:p>
        </w:tc>
        <w:tc>
          <w:tcPr>
            <w:tcW w:w="607" w:type="dxa"/>
            <w:noWrap/>
            <w:vAlign w:val="center"/>
            <w:hideMark/>
          </w:tcPr>
          <w:p w14:paraId="574A2DE4"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3.3</w:t>
            </w:r>
          </w:p>
        </w:tc>
        <w:tc>
          <w:tcPr>
            <w:tcW w:w="607" w:type="dxa"/>
            <w:noWrap/>
            <w:vAlign w:val="center"/>
            <w:hideMark/>
          </w:tcPr>
          <w:p w14:paraId="53CF75A5"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3.3</w:t>
            </w:r>
          </w:p>
        </w:tc>
        <w:tc>
          <w:tcPr>
            <w:tcW w:w="606" w:type="dxa"/>
            <w:vAlign w:val="center"/>
          </w:tcPr>
          <w:p w14:paraId="58E11168"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3.5</w:t>
            </w:r>
          </w:p>
        </w:tc>
        <w:tc>
          <w:tcPr>
            <w:tcW w:w="607" w:type="dxa"/>
            <w:tcBorders>
              <w:top w:val="nil"/>
              <w:left w:val="nil"/>
              <w:bottom w:val="nil"/>
              <w:right w:val="single" w:sz="4" w:space="0" w:color="003299"/>
              <w:tl2br w:val="nil"/>
              <w:tr2bl w:val="nil"/>
            </w:tcBorders>
            <w:vAlign w:val="center"/>
          </w:tcPr>
          <w:p w14:paraId="4D65B426"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3.7</w:t>
            </w:r>
          </w:p>
        </w:tc>
        <w:tc>
          <w:tcPr>
            <w:tcW w:w="607" w:type="dxa"/>
            <w:tcBorders>
              <w:left w:val="single" w:sz="4" w:space="0" w:color="003299"/>
            </w:tcBorders>
            <w:noWrap/>
            <w:vAlign w:val="center"/>
            <w:hideMark/>
          </w:tcPr>
          <w:p w14:paraId="51BCE8D3"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0.2</w:t>
            </w:r>
          </w:p>
        </w:tc>
        <w:tc>
          <w:tcPr>
            <w:tcW w:w="606" w:type="dxa"/>
            <w:noWrap/>
            <w:vAlign w:val="center"/>
            <w:hideMark/>
          </w:tcPr>
          <w:p w14:paraId="573CCA61"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0.1</w:t>
            </w:r>
          </w:p>
        </w:tc>
        <w:tc>
          <w:tcPr>
            <w:tcW w:w="607" w:type="dxa"/>
            <w:noWrap/>
            <w:vAlign w:val="center"/>
            <w:hideMark/>
          </w:tcPr>
          <w:p w14:paraId="522CE26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0.1</w:t>
            </w:r>
          </w:p>
        </w:tc>
        <w:tc>
          <w:tcPr>
            <w:tcW w:w="607" w:type="dxa"/>
            <w:vAlign w:val="center"/>
          </w:tcPr>
          <w:p w14:paraId="1EF54F60" w14:textId="77777777" w:rsidR="00E24F39" w:rsidRPr="00100602" w:rsidRDefault="00E24F39" w:rsidP="00100602">
            <w:pPr>
              <w:pStyle w:val="Box-Tabletext"/>
              <w:framePr w:wrap="notBeside"/>
              <w:cnfStyle w:val="000000000000" w:firstRow="0" w:lastRow="0" w:firstColumn="0" w:lastColumn="0" w:oddVBand="0" w:evenVBand="0" w:oddHBand="0" w:evenHBand="0" w:firstRowFirstColumn="0" w:firstRowLastColumn="0" w:lastRowFirstColumn="0" w:lastRowLastColumn="0"/>
            </w:pPr>
            <w:r w:rsidRPr="005F0613">
              <w:t>0.1</w:t>
            </w:r>
          </w:p>
        </w:tc>
      </w:tr>
    </w:tbl>
    <w:p w14:paraId="540F3446" w14:textId="77777777" w:rsidR="00E24F39" w:rsidRDefault="00E24F39" w:rsidP="00C82B7D">
      <w:pPr>
        <w:pStyle w:val="Box-Charttextwide-SourcesNotes"/>
      </w:pPr>
      <w:r w:rsidRPr="00BF6914">
        <w:t>Notes: Revisions are expressed as percentages for levels and as percentage points for growth rates and percentages per annum. Revisions for growth rates and interest rates are calculated on figures rounded to one decimal place, while revisions reported as percentage changes are calculated on unrounded figures. The technical assumptions about euro area interest rates</w:t>
      </w:r>
      <w:r>
        <w:t xml:space="preserve"> </w:t>
      </w:r>
      <w:r w:rsidRPr="00BF6914">
        <w:t xml:space="preserve">and commodity prices are based on market expectations, with a cut-off date of </w:t>
      </w:r>
      <w:r>
        <w:t>11 March</w:t>
      </w:r>
      <w:r w:rsidRPr="00BF6914">
        <w:t xml:space="preserve"> 202</w:t>
      </w:r>
      <w:r>
        <w:t>6</w:t>
      </w:r>
      <w:r w:rsidRPr="00BF6914">
        <w:t xml:space="preserve">. Oil prices refer to Brent crude oil spot and futures prices. Gas prices refer to the Dutch TTF gas spot and futures prices. Electricity prices refer to the average wholesale spot and futures price for the five largest euro area countries. The “synthetic” future price for ETS1 allowances (EUA) is derived as the end-of-month linearly interpolated value of the two nearest European Energy Exchange EUA futures. Monthly EUA futures prices are then averaged to produce an equivalent to annual frequency. In the absence of meaningful trading of ETS2 allowances, the price assumptions were set by staff </w:t>
      </w:r>
      <w:r>
        <w:t>in line with the assumption of the European Commission in its Autumn 2025 Economic Forecast</w:t>
      </w:r>
      <w:r w:rsidRPr="00BF6914">
        <w:t xml:space="preserve"> (see </w:t>
      </w:r>
      <w:r>
        <w:t>B</w:t>
      </w:r>
      <w:r w:rsidRPr="00BF6914">
        <w:t xml:space="preserve">ox </w:t>
      </w:r>
      <w:r>
        <w:t>2 of the December 2025 projections article</w:t>
      </w:r>
      <w:r w:rsidRPr="00BF6914">
        <w:t xml:space="preserve">). The paths of commodity prices are implied by futures markets in the </w:t>
      </w:r>
      <w:r>
        <w:t>three</w:t>
      </w:r>
      <w:r w:rsidRPr="00BF6914">
        <w:t xml:space="preserve"> working days ending on the cut-off date. Bilateral exchange rates are assumed to remain unchanged over the projection horizon at the average levels prevailing in the </w:t>
      </w:r>
      <w:r>
        <w:t>three</w:t>
      </w:r>
      <w:r w:rsidRPr="00BF6914">
        <w:t xml:space="preserve"> working days ending on the cut-off date. The assumptions for euro area ten-year nominal government bond yields are based on the average of countries’ ten-year bond yields, weighted by annual GDP figures. Where the necessary data exist, the country-specific ten-year nominal government bond yields are defined as the ten-year benchmark bond yields prolonged using the forward par yields derived, on the cut-off date, from the corresponding country-specific yield curves. For the other countries, the country-specific ten-year government bond yields are defined as the ten-year benchmark bond yield prolonged using a constant spread (observed on the cut-off date) over the technical euro area risk-free long-term interest rate assumption.</w:t>
      </w:r>
    </w:p>
    <w:p w14:paraId="6655314D" w14:textId="77777777" w:rsidR="00E24F39" w:rsidRDefault="00E24F39" w:rsidP="00C82B7D">
      <w:pPr>
        <w:pStyle w:val="Box-Charttextwide-SourcesNotes"/>
      </w:pPr>
    </w:p>
    <w:p w14:paraId="2E478BFC" w14:textId="77777777" w:rsidR="00E24F39" w:rsidRDefault="00E24F39" w:rsidP="00E57A23">
      <w:pPr>
        <w:pStyle w:val="Heading2"/>
      </w:pPr>
      <w:bookmarkStart w:id="5" w:name="_Toc224823012"/>
      <w:r w:rsidRPr="001A2CF6">
        <w:t>Prices and costs</w:t>
      </w:r>
      <w:bookmarkEnd w:id="5"/>
    </w:p>
    <w:p w14:paraId="09D21E56" w14:textId="4F5CB1A6" w:rsidR="00E24F39" w:rsidRDefault="00E24F39" w:rsidP="00E57A23">
      <w:r>
        <w:rPr>
          <w:rStyle w:val="IntenseEmphasis"/>
        </w:rPr>
        <w:t>H</w:t>
      </w:r>
      <w:r w:rsidRPr="0037254C">
        <w:rPr>
          <w:rStyle w:val="IntenseEmphasis"/>
        </w:rPr>
        <w:t xml:space="preserve">eadline inflation </w:t>
      </w:r>
      <w:r w:rsidRPr="0019403C">
        <w:rPr>
          <w:rStyle w:val="IntenseEmphasis"/>
        </w:rPr>
        <w:t xml:space="preserve">is </w:t>
      </w:r>
      <w:r>
        <w:rPr>
          <w:rStyle w:val="IntenseEmphasis"/>
        </w:rPr>
        <w:t>projected to increase from 2.1% in 2025 to 2</w:t>
      </w:r>
      <w:r w:rsidRPr="00B6453D">
        <w:rPr>
          <w:rStyle w:val="IntenseEmphasis"/>
        </w:rPr>
        <w:t>.</w:t>
      </w:r>
      <w:r>
        <w:rPr>
          <w:rStyle w:val="IntenseEmphasis"/>
        </w:rPr>
        <w:t>6</w:t>
      </w:r>
      <w:r w:rsidRPr="00B6453D">
        <w:rPr>
          <w:rStyle w:val="IntenseEmphasis"/>
        </w:rPr>
        <w:t>% in 2026</w:t>
      </w:r>
      <w:r>
        <w:rPr>
          <w:rStyle w:val="IntenseEmphasis"/>
        </w:rPr>
        <w:t>, reflecting the substantial increases in oil and gas wholesale</w:t>
      </w:r>
      <w:r w:rsidRPr="00693A71">
        <w:rPr>
          <w:rStyle w:val="IntenseEmphasis"/>
        </w:rPr>
        <w:t xml:space="preserve"> prices</w:t>
      </w:r>
      <w:r w:rsidRPr="00B6453D">
        <w:rPr>
          <w:rStyle w:val="IntenseEmphasis"/>
        </w:rPr>
        <w:t xml:space="preserve"> </w:t>
      </w:r>
      <w:r w:rsidRPr="0037254C">
        <w:rPr>
          <w:rStyle w:val="IntenseEmphasis"/>
        </w:rPr>
        <w:t>(</w:t>
      </w:r>
      <w:r>
        <w:rPr>
          <w:rStyle w:val="IntenseEmphasis"/>
        </w:rPr>
        <w:fldChar w:fldCharType="begin"/>
      </w:r>
      <w:r>
        <w:rPr>
          <w:rStyle w:val="IntenseEmphasis"/>
        </w:rPr>
        <w:instrText xml:space="preserve"> REF _Ref213251771 \h </w:instrText>
      </w:r>
      <w:r>
        <w:rPr>
          <w:rStyle w:val="IntenseEmphasis"/>
        </w:rPr>
      </w:r>
      <w:r>
        <w:rPr>
          <w:rStyle w:val="IntenseEmphasis"/>
        </w:rPr>
        <w:fldChar w:fldCharType="separate"/>
      </w:r>
      <w:r w:rsidR="004D705B" w:rsidRPr="007839D5">
        <w:rPr>
          <w:rStyle w:val="IntenseEmphasis"/>
        </w:rPr>
        <w:t xml:space="preserve">Chart </w:t>
      </w:r>
      <w:r w:rsidR="004D705B">
        <w:rPr>
          <w:rStyle w:val="IntenseEmphasis"/>
          <w:noProof/>
        </w:rPr>
        <w:t>5</w:t>
      </w:r>
      <w:r>
        <w:rPr>
          <w:rStyle w:val="IntenseEmphasis"/>
        </w:rPr>
        <w:fldChar w:fldCharType="end"/>
      </w:r>
      <w:r>
        <w:rPr>
          <w:rStyle w:val="IntenseEmphasis"/>
        </w:rPr>
        <w:t xml:space="preserve"> and Chart 6</w:t>
      </w:r>
      <w:r w:rsidRPr="0037254C">
        <w:rPr>
          <w:rStyle w:val="IntenseEmphasis"/>
        </w:rPr>
        <w:t>).</w:t>
      </w:r>
      <w:r w:rsidRPr="0037254C">
        <w:t xml:space="preserve"> </w:t>
      </w:r>
      <w:r w:rsidRPr="0072366F">
        <w:t>In</w:t>
      </w:r>
      <w:r>
        <w:t xml:space="preserve"> the first half of</w:t>
      </w:r>
      <w:r w:rsidRPr="0072366F">
        <w:t xml:space="preserve"> 2026 the evolution of headline inflation</w:t>
      </w:r>
      <w:r>
        <w:t xml:space="preserve"> is seen to</w:t>
      </w:r>
      <w:r w:rsidRPr="0072366F">
        <w:t xml:space="preserve"> follow the </w:t>
      </w:r>
      <w:r>
        <w:t>surge</w:t>
      </w:r>
      <w:r w:rsidRPr="0072366F">
        <w:t xml:space="preserve"> in energy </w:t>
      </w:r>
      <w:r>
        <w:t xml:space="preserve">inflation, which is </w:t>
      </w:r>
      <w:r w:rsidRPr="00472E2D">
        <w:t>in line with futures prices</w:t>
      </w:r>
      <w:r>
        <w:t xml:space="preserve"> but also reflects the recent rise in refining and distribution margins for transport fuels.</w:t>
      </w:r>
      <w:r>
        <w:rPr>
          <w:rStyle w:val="FootnoteReference"/>
        </w:rPr>
        <w:footnoteReference w:id="10"/>
      </w:r>
      <w:r>
        <w:t xml:space="preserve"> Headline inflation is seen to increase from 2.1% in first quarter of 2026 to 3.1% in the </w:t>
      </w:r>
      <w:r>
        <w:lastRenderedPageBreak/>
        <w:t xml:space="preserve">second quarter, and then to decelerate to 2.7% in the second half of the year. Food inflation is expected to decrease further in the short term and to increase somewhat only later in the year owing to rising pipeline pressures from energy prices and other input costs. HICPX inflation is seen to stabilise around 2.3%, with indirect effects from energy inflation expected to be limited. </w:t>
      </w:r>
    </w:p>
    <w:p w14:paraId="52D09277" w14:textId="77777777" w:rsidR="00EC3905" w:rsidRPr="00C04725" w:rsidRDefault="00EC3905" w:rsidP="00EC3905">
      <w:pPr>
        <w:pStyle w:val="Chartright-Heading"/>
      </w:pPr>
      <w:r w:rsidRPr="007839D5">
        <w:rPr>
          <w:rStyle w:val="IntenseEmphasis"/>
        </w:rPr>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Pr>
          <w:rStyle w:val="IntenseEmphasis"/>
          <w:noProof/>
        </w:rPr>
        <w:t>5</w:t>
      </w:r>
      <w:r w:rsidRPr="007839D5">
        <w:rPr>
          <w:rStyle w:val="IntenseEmphasis"/>
        </w:rPr>
        <w:fldChar w:fldCharType="end"/>
      </w:r>
      <w:r w:rsidRPr="007839D5">
        <w:br/>
      </w:r>
      <w:r w:rsidRPr="00C04725">
        <w:t>Euro area HICP inflation</w:t>
      </w:r>
    </w:p>
    <w:p w14:paraId="268FB074" w14:textId="77777777" w:rsidR="00EC3905" w:rsidRPr="004D42D6" w:rsidRDefault="00EC3905" w:rsidP="00EC3905">
      <w:pPr>
        <w:pStyle w:val="Chartright-Measure"/>
      </w:pPr>
      <w:r w:rsidRPr="004D42D6">
        <w:t>(annual percentage changes)</w:t>
      </w:r>
    </w:p>
    <w:p w14:paraId="71712815" w14:textId="77777777" w:rsidR="00EC3905" w:rsidRPr="00DD601F" w:rsidRDefault="00EC3905" w:rsidP="00EC3905">
      <w:pPr>
        <w:pStyle w:val="Chartright-Picture"/>
      </w:pPr>
      <w:r>
        <w:rPr>
          <w:noProof/>
        </w:rPr>
        <w:drawing>
          <wp:inline distT="0" distB="0" distL="0" distR="0" wp14:anchorId="461FE1C9" wp14:editId="5025A4B3">
            <wp:extent cx="4535805" cy="2164080"/>
            <wp:effectExtent l="0" t="0" r="0" b="7620"/>
            <wp:docPr id="597354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5805" cy="2164080"/>
                    </a:xfrm>
                    <a:prstGeom prst="rect">
                      <a:avLst/>
                    </a:prstGeom>
                    <a:noFill/>
                  </pic:spPr>
                </pic:pic>
              </a:graphicData>
            </a:graphic>
          </wp:inline>
        </w:drawing>
      </w:r>
    </w:p>
    <w:p w14:paraId="1D1B9495" w14:textId="77777777" w:rsidR="00EC3905" w:rsidRDefault="00EC3905" w:rsidP="00EC3905">
      <w:pPr>
        <w:pStyle w:val="Chartright-SourcesNotes"/>
      </w:pPr>
      <w:r w:rsidRPr="000E1467">
        <w:t xml:space="preserve">Notes: The vertical line indicates the start of the current projection horizon. </w:t>
      </w:r>
      <w:r w:rsidRPr="00401170">
        <w:t xml:space="preserve">This chart does not show uncertainty bands around the projections. This reflects the fact that the standard computation of the fan charts (based on historical projection errors) would not, in the present circumstances, provide a reliable indication of the </w:t>
      </w:r>
      <w:r>
        <w:t>high</w:t>
      </w:r>
      <w:r w:rsidRPr="00401170">
        <w:t xml:space="preserve"> uncertainty surrounding the current projections. Instead, in order to better illustrate the current uncertainty, alternative scenarios which assume varying degrees of severity of the economic impact of the war in the Middle East are presented in Section 3</w:t>
      </w:r>
      <w:r w:rsidRPr="000E1467">
        <w:t>.</w:t>
      </w:r>
    </w:p>
    <w:p w14:paraId="709199BE" w14:textId="77777777" w:rsidR="00EC3905" w:rsidRPr="00C04725" w:rsidRDefault="00EC3905" w:rsidP="00EC3905">
      <w:pPr>
        <w:pStyle w:val="Chartright-Heading"/>
      </w:pPr>
      <w:r w:rsidRPr="007839D5">
        <w:rPr>
          <w:rStyle w:val="IntenseEmphasis"/>
        </w:rPr>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Pr>
          <w:rStyle w:val="IntenseEmphasis"/>
          <w:noProof/>
        </w:rPr>
        <w:t>6</w:t>
      </w:r>
      <w:r w:rsidRPr="007839D5">
        <w:rPr>
          <w:rStyle w:val="IntenseEmphasis"/>
        </w:rPr>
        <w:fldChar w:fldCharType="end"/>
      </w:r>
      <w:r w:rsidRPr="007839D5">
        <w:br/>
      </w:r>
      <w:r w:rsidRPr="00C04725">
        <w:t>Euro area HICP inflation – decomposition into the main components</w:t>
      </w:r>
    </w:p>
    <w:p w14:paraId="1CC40AA2" w14:textId="77777777" w:rsidR="00EC3905" w:rsidRPr="001F299A" w:rsidRDefault="00EC3905" w:rsidP="00EC3905">
      <w:pPr>
        <w:pStyle w:val="Chartright-Measure"/>
        <w:rPr>
          <w:lang w:val="fr-FR"/>
        </w:rPr>
      </w:pPr>
      <w:r w:rsidRPr="001F299A">
        <w:rPr>
          <w:lang w:val="fr-FR"/>
        </w:rPr>
        <w:t>(</w:t>
      </w:r>
      <w:proofErr w:type="spellStart"/>
      <w:proofErr w:type="gramStart"/>
      <w:r w:rsidRPr="001F299A">
        <w:rPr>
          <w:lang w:val="fr-FR"/>
        </w:rPr>
        <w:t>annual</w:t>
      </w:r>
      <w:proofErr w:type="spellEnd"/>
      <w:proofErr w:type="gramEnd"/>
      <w:r w:rsidRPr="001F299A">
        <w:rPr>
          <w:lang w:val="fr-FR"/>
        </w:rPr>
        <w:t xml:space="preserve"> percentage changes, percentage points)</w:t>
      </w:r>
    </w:p>
    <w:p w14:paraId="27D89F07" w14:textId="77777777" w:rsidR="00EC3905" w:rsidRPr="001377AC" w:rsidRDefault="00EC3905" w:rsidP="00EC3905">
      <w:pPr>
        <w:pStyle w:val="Chartright-Picture"/>
        <w:rPr>
          <w:lang w:val="fr-FR"/>
        </w:rPr>
      </w:pPr>
      <w:r>
        <w:rPr>
          <w:noProof/>
          <w:lang w:val="fr-FR"/>
        </w:rPr>
        <w:drawing>
          <wp:inline distT="0" distB="0" distL="0" distR="0" wp14:anchorId="52E432E4" wp14:editId="1781308B">
            <wp:extent cx="4542155" cy="2158365"/>
            <wp:effectExtent l="0" t="0" r="0" b="0"/>
            <wp:docPr id="709398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2155" cy="2158365"/>
                    </a:xfrm>
                    <a:prstGeom prst="rect">
                      <a:avLst/>
                    </a:prstGeom>
                    <a:noFill/>
                  </pic:spPr>
                </pic:pic>
              </a:graphicData>
            </a:graphic>
          </wp:inline>
        </w:drawing>
      </w:r>
    </w:p>
    <w:p w14:paraId="3C598F88" w14:textId="77777777" w:rsidR="00EC3905" w:rsidRPr="004D42D6" w:rsidRDefault="00EC3905" w:rsidP="00EC3905">
      <w:pPr>
        <w:pStyle w:val="Chartright-SourcesNotes"/>
      </w:pPr>
      <w:r w:rsidRPr="004D42D6">
        <w:t>Note: The vertical line indicates the start of the current projection horizon.</w:t>
      </w:r>
    </w:p>
    <w:p w14:paraId="5CE29046" w14:textId="128ECF14" w:rsidR="00E24F39" w:rsidRDefault="00E24F39" w:rsidP="00E57A23">
      <w:r w:rsidRPr="00050CDE">
        <w:rPr>
          <w:rStyle w:val="IntenseEmphasis"/>
        </w:rPr>
        <w:t xml:space="preserve">In 2027 </w:t>
      </w:r>
      <w:r>
        <w:rPr>
          <w:rStyle w:val="IntenseEmphasis"/>
        </w:rPr>
        <w:t xml:space="preserve">HICP </w:t>
      </w:r>
      <w:r w:rsidRPr="00050CDE">
        <w:rPr>
          <w:rStyle w:val="IntenseEmphasis"/>
        </w:rPr>
        <w:t xml:space="preserve">inflation is expected to decrease to </w:t>
      </w:r>
      <w:r>
        <w:rPr>
          <w:rStyle w:val="IntenseEmphasis"/>
        </w:rPr>
        <w:t>2</w:t>
      </w:r>
      <w:r w:rsidRPr="00050CDE">
        <w:rPr>
          <w:rStyle w:val="IntenseEmphasis"/>
        </w:rPr>
        <w:t>.</w:t>
      </w:r>
      <w:r>
        <w:rPr>
          <w:rStyle w:val="IntenseEmphasis"/>
        </w:rPr>
        <w:t>0</w:t>
      </w:r>
      <w:r w:rsidRPr="00050CDE">
        <w:rPr>
          <w:rStyle w:val="IntenseEmphasis"/>
        </w:rPr>
        <w:t>%</w:t>
      </w:r>
      <w:r>
        <w:rPr>
          <w:rStyle w:val="IntenseEmphasis"/>
        </w:rPr>
        <w:t>,</w:t>
      </w:r>
      <w:r w:rsidRPr="00050CDE">
        <w:rPr>
          <w:rStyle w:val="IntenseEmphasis"/>
        </w:rPr>
        <w:t xml:space="preserve"> </w:t>
      </w:r>
      <w:r>
        <w:rPr>
          <w:rStyle w:val="IntenseEmphasis"/>
        </w:rPr>
        <w:t>mainly owing to a fall in energy inflation</w:t>
      </w:r>
      <w:r w:rsidRPr="00050CDE">
        <w:rPr>
          <w:rStyle w:val="IntenseEmphasis"/>
        </w:rPr>
        <w:t>, before rising to 2.</w:t>
      </w:r>
      <w:r>
        <w:rPr>
          <w:rStyle w:val="IntenseEmphasis"/>
        </w:rPr>
        <w:t>1</w:t>
      </w:r>
      <w:r w:rsidRPr="00050CDE">
        <w:rPr>
          <w:rStyle w:val="IntenseEmphasis"/>
        </w:rPr>
        <w:t xml:space="preserve">% in 2028 </w:t>
      </w:r>
      <w:r>
        <w:rPr>
          <w:rStyle w:val="IntenseEmphasis"/>
        </w:rPr>
        <w:t>largely</w:t>
      </w:r>
      <w:r w:rsidRPr="00050CDE">
        <w:rPr>
          <w:rStyle w:val="IntenseEmphasis"/>
        </w:rPr>
        <w:t xml:space="preserve"> </w:t>
      </w:r>
      <w:r>
        <w:rPr>
          <w:rStyle w:val="IntenseEmphasis"/>
        </w:rPr>
        <w:t>related</w:t>
      </w:r>
      <w:r w:rsidRPr="00050CDE">
        <w:rPr>
          <w:rStyle w:val="IntenseEmphasis"/>
        </w:rPr>
        <w:t xml:space="preserve"> to a pick-up in energy inflation</w:t>
      </w:r>
      <w:r>
        <w:rPr>
          <w:rStyle w:val="IntenseEmphasis"/>
        </w:rPr>
        <w:t xml:space="preserve"> driven by carbon prices (</w:t>
      </w:r>
      <w:r>
        <w:rPr>
          <w:rStyle w:val="IntenseEmphasis"/>
        </w:rPr>
        <w:fldChar w:fldCharType="begin"/>
      </w:r>
      <w:r>
        <w:rPr>
          <w:rStyle w:val="IntenseEmphasis"/>
        </w:rPr>
        <w:instrText xml:space="preserve"> REF _Ref184134304 \h </w:instrText>
      </w:r>
      <w:r>
        <w:rPr>
          <w:rStyle w:val="IntenseEmphasis"/>
        </w:rPr>
      </w:r>
      <w:r>
        <w:rPr>
          <w:rStyle w:val="IntenseEmphasis"/>
        </w:rPr>
        <w:fldChar w:fldCharType="separate"/>
      </w:r>
      <w:r w:rsidR="004D705B" w:rsidRPr="00F01FA2">
        <w:rPr>
          <w:rStyle w:val="IntenseEmphasis"/>
        </w:rPr>
        <w:t xml:space="preserve">Chart </w:t>
      </w:r>
      <w:r w:rsidR="004D705B">
        <w:rPr>
          <w:rStyle w:val="IntenseEmphasis"/>
          <w:noProof/>
        </w:rPr>
        <w:t>7</w:t>
      </w:r>
      <w:r>
        <w:rPr>
          <w:rStyle w:val="IntenseEmphasis"/>
        </w:rPr>
        <w:fldChar w:fldCharType="end"/>
      </w:r>
      <w:r>
        <w:rPr>
          <w:rStyle w:val="IntenseEmphasis"/>
        </w:rPr>
        <w:t>, panel b).</w:t>
      </w:r>
      <w:r w:rsidRPr="00050CDE">
        <w:rPr>
          <w:rStyle w:val="IntenseEmphasis"/>
        </w:rPr>
        <w:t xml:space="preserve"> </w:t>
      </w:r>
      <w:r>
        <w:t>The decline in headline inflation</w:t>
      </w:r>
      <w:r w:rsidRPr="0037254C">
        <w:t xml:space="preserve"> </w:t>
      </w:r>
      <w:r>
        <w:t xml:space="preserve">in 2027 mainly reflects downward base effects and falling energy </w:t>
      </w:r>
      <w:r>
        <w:lastRenderedPageBreak/>
        <w:t>prices in line with a declining profile of</w:t>
      </w:r>
      <w:r w:rsidRPr="000A41A6">
        <w:t xml:space="preserve"> </w:t>
      </w:r>
      <w:r>
        <w:t xml:space="preserve">wholesale oil and gas </w:t>
      </w:r>
      <w:r w:rsidRPr="000A41A6">
        <w:t xml:space="preserve">futures </w:t>
      </w:r>
      <w:r w:rsidRPr="0037254C">
        <w:t>(see</w:t>
      </w:r>
      <w:r>
        <w:t xml:space="preserve"> </w:t>
      </w:r>
      <w:r w:rsidRPr="001D3CEC">
        <w:rPr>
          <w:rStyle w:val="IntenseEmphasis"/>
        </w:rPr>
        <w:t>Box 2</w:t>
      </w:r>
      <w:r w:rsidRPr="0037254C">
        <w:t>)</w:t>
      </w:r>
      <w:r>
        <w:t>, with energy inflation pushed back into negative territory as of the second quarter (</w:t>
      </w:r>
      <w:r w:rsidRPr="0018349E">
        <w:rPr>
          <w:rStyle w:val="IntenseEmphasis"/>
        </w:rPr>
        <w:fldChar w:fldCharType="begin"/>
      </w:r>
      <w:r w:rsidRPr="0018349E">
        <w:rPr>
          <w:rStyle w:val="IntenseEmphasis"/>
        </w:rPr>
        <w:instrText xml:space="preserve"> REF _Ref184134304 \h </w:instrText>
      </w:r>
      <w:r w:rsidRPr="0018349E">
        <w:rPr>
          <w:rStyle w:val="IntenseEmphasis"/>
        </w:rPr>
      </w:r>
      <w:r w:rsidRPr="0018349E">
        <w:rPr>
          <w:rStyle w:val="IntenseEmphasis"/>
        </w:rPr>
        <w:fldChar w:fldCharType="separate"/>
      </w:r>
      <w:r w:rsidR="004D705B" w:rsidRPr="00F01FA2">
        <w:rPr>
          <w:rStyle w:val="IntenseEmphasis"/>
        </w:rPr>
        <w:t xml:space="preserve">Chart </w:t>
      </w:r>
      <w:r w:rsidR="004D705B">
        <w:rPr>
          <w:rStyle w:val="IntenseEmphasis"/>
          <w:noProof/>
        </w:rPr>
        <w:t>7</w:t>
      </w:r>
      <w:r w:rsidRPr="0018349E">
        <w:rPr>
          <w:rStyle w:val="IntenseEmphasis"/>
        </w:rPr>
        <w:fldChar w:fldCharType="end"/>
      </w:r>
      <w:r w:rsidRPr="00596C48">
        <w:t>, panel a)</w:t>
      </w:r>
      <w:r w:rsidRPr="0037254C">
        <w:t xml:space="preserve">. </w:t>
      </w:r>
      <w:r w:rsidRPr="006D1A2D">
        <w:t>HICPX inflation</w:t>
      </w:r>
      <w:r>
        <w:t xml:space="preserve"> is seen to moderate slightly, while food inflation increases further. The rise in headline inflation to 2</w:t>
      </w:r>
      <w:r w:rsidRPr="0037254C">
        <w:t>.</w:t>
      </w:r>
      <w:r>
        <w:t>1%</w:t>
      </w:r>
      <w:r w:rsidRPr="0037254C">
        <w:t xml:space="preserve"> in 202</w:t>
      </w:r>
      <w:r>
        <w:t>8</w:t>
      </w:r>
      <w:r w:rsidRPr="0037254C">
        <w:t xml:space="preserve"> </w:t>
      </w:r>
      <w:r>
        <w:t xml:space="preserve">is mainly attributed to a significant increase in energy inflation, driven by </w:t>
      </w:r>
      <w:r w:rsidRPr="0037254C">
        <w:t>climate transition-related fiscal measures</w:t>
      </w:r>
      <w:r>
        <w:t xml:space="preserve"> and, </w:t>
      </w:r>
      <w:r w:rsidRPr="0037254C">
        <w:t>in particular</w:t>
      </w:r>
      <w:r>
        <w:t>,</w:t>
      </w:r>
      <w:r w:rsidRPr="0037254C">
        <w:t xml:space="preserve"> the introduction of ETS2</w:t>
      </w:r>
      <w:r>
        <w:t>, which is seen to push headline inflation up by 0.2 percentage points.</w:t>
      </w:r>
      <w:r>
        <w:rPr>
          <w:rStyle w:val="FootnoteReference"/>
        </w:rPr>
        <w:footnoteReference w:id="11"/>
      </w:r>
      <w:r>
        <w:t xml:space="preserve"> </w:t>
      </w:r>
    </w:p>
    <w:p w14:paraId="587F95B6" w14:textId="7B712157" w:rsidR="00E24F39" w:rsidRPr="007C7DF0" w:rsidRDefault="00E24F39" w:rsidP="00E57A23">
      <w:r>
        <w:rPr>
          <w:rStyle w:val="IntenseEmphasis"/>
        </w:rPr>
        <w:t>F</w:t>
      </w:r>
      <w:r w:rsidRPr="0037254C">
        <w:rPr>
          <w:rStyle w:val="IntenseEmphasis"/>
        </w:rPr>
        <w:t xml:space="preserve">ood inflation is </w:t>
      </w:r>
      <w:r>
        <w:rPr>
          <w:rStyle w:val="IntenseEmphasis"/>
        </w:rPr>
        <w:t>projected</w:t>
      </w:r>
      <w:r w:rsidRPr="0037254C">
        <w:rPr>
          <w:rStyle w:val="IntenseEmphasis"/>
        </w:rPr>
        <w:t xml:space="preserve"> </w:t>
      </w:r>
      <w:r>
        <w:rPr>
          <w:rStyle w:val="IntenseEmphasis"/>
        </w:rPr>
        <w:t xml:space="preserve">to decline in the short term, </w:t>
      </w:r>
      <w:r w:rsidRPr="004A360A">
        <w:rPr>
          <w:b/>
          <w:bCs/>
          <w:iCs/>
          <w:color w:val="003299"/>
        </w:rPr>
        <w:t xml:space="preserve">before increasing owing to </w:t>
      </w:r>
      <w:r>
        <w:rPr>
          <w:b/>
          <w:bCs/>
          <w:iCs/>
          <w:color w:val="003299"/>
        </w:rPr>
        <w:t xml:space="preserve">the </w:t>
      </w:r>
      <w:r w:rsidRPr="004A360A">
        <w:rPr>
          <w:b/>
          <w:bCs/>
          <w:iCs/>
          <w:color w:val="003299"/>
        </w:rPr>
        <w:t xml:space="preserve">lagged pass-through </w:t>
      </w:r>
      <w:r>
        <w:rPr>
          <w:b/>
          <w:bCs/>
          <w:iCs/>
          <w:color w:val="003299"/>
        </w:rPr>
        <w:t>of</w:t>
      </w:r>
      <w:r w:rsidRPr="004A360A">
        <w:rPr>
          <w:b/>
          <w:bCs/>
          <w:iCs/>
          <w:color w:val="003299"/>
        </w:rPr>
        <w:t xml:space="preserve"> energy prices and then moderating in 2028 </w:t>
      </w:r>
      <w:r w:rsidRPr="0037254C">
        <w:rPr>
          <w:rStyle w:val="IntenseEmphasis"/>
        </w:rPr>
        <w:t>(</w:t>
      </w:r>
      <w:r>
        <w:rPr>
          <w:rStyle w:val="IntenseEmphasis"/>
        </w:rPr>
        <w:fldChar w:fldCharType="begin"/>
      </w:r>
      <w:r>
        <w:rPr>
          <w:rStyle w:val="IntenseEmphasis"/>
        </w:rPr>
        <w:instrText xml:space="preserve"> REF _Ref184134304 \h </w:instrText>
      </w:r>
      <w:r>
        <w:rPr>
          <w:rStyle w:val="IntenseEmphasis"/>
        </w:rPr>
      </w:r>
      <w:r>
        <w:rPr>
          <w:rStyle w:val="IntenseEmphasis"/>
        </w:rPr>
        <w:fldChar w:fldCharType="separate"/>
      </w:r>
      <w:r w:rsidR="004D705B" w:rsidRPr="00F01FA2">
        <w:rPr>
          <w:rStyle w:val="IntenseEmphasis"/>
        </w:rPr>
        <w:t xml:space="preserve">Chart </w:t>
      </w:r>
      <w:r w:rsidR="004D705B">
        <w:rPr>
          <w:rStyle w:val="IntenseEmphasis"/>
          <w:noProof/>
        </w:rPr>
        <w:t>7</w:t>
      </w:r>
      <w:r>
        <w:rPr>
          <w:rStyle w:val="IntenseEmphasis"/>
        </w:rPr>
        <w:fldChar w:fldCharType="end"/>
      </w:r>
      <w:r w:rsidRPr="0037254C">
        <w:rPr>
          <w:rStyle w:val="IntenseEmphasis"/>
        </w:rPr>
        <w:t>, panel b).</w:t>
      </w:r>
      <w:r w:rsidRPr="0037254C">
        <w:t xml:space="preserve"> </w:t>
      </w:r>
      <w:r>
        <w:t xml:space="preserve">It </w:t>
      </w:r>
      <w:r w:rsidRPr="0037254C">
        <w:t xml:space="preserve">is expected to </w:t>
      </w:r>
      <w:r>
        <w:t>fall</w:t>
      </w:r>
      <w:r w:rsidRPr="0037254C">
        <w:t xml:space="preserve"> </w:t>
      </w:r>
      <w:r>
        <w:t>from 2</w:t>
      </w:r>
      <w:r w:rsidRPr="0037254C">
        <w:t>.</w:t>
      </w:r>
      <w:r>
        <w:t>5</w:t>
      </w:r>
      <w:r w:rsidRPr="0037254C">
        <w:t xml:space="preserve">% in the </w:t>
      </w:r>
      <w:r>
        <w:t>first</w:t>
      </w:r>
      <w:r w:rsidRPr="0037254C">
        <w:t xml:space="preserve"> quarter </w:t>
      </w:r>
      <w:r>
        <w:t xml:space="preserve">of 2026 </w:t>
      </w:r>
      <w:r w:rsidRPr="0037254C">
        <w:t xml:space="preserve">to </w:t>
      </w:r>
      <w:r>
        <w:t>2</w:t>
      </w:r>
      <w:r w:rsidRPr="0037254C">
        <w:t>.</w:t>
      </w:r>
      <w:r>
        <w:t>1</w:t>
      </w:r>
      <w:r w:rsidRPr="0037254C">
        <w:t xml:space="preserve">% in the </w:t>
      </w:r>
      <w:r>
        <w:t xml:space="preserve">third </w:t>
      </w:r>
      <w:r w:rsidRPr="0037254C">
        <w:t>quarter,</w:t>
      </w:r>
      <w:r>
        <w:t xml:space="preserve"> mainly driven by developments in the unprocessed food component. This decline also reflects the recent easing in prices of certain</w:t>
      </w:r>
      <w:r w:rsidRPr="0037254C">
        <w:t xml:space="preserve"> food commodit</w:t>
      </w:r>
      <w:r>
        <w:t>ies, such as</w:t>
      </w:r>
      <w:r w:rsidRPr="0037254C">
        <w:t xml:space="preserve"> </w:t>
      </w:r>
      <w:r>
        <w:t xml:space="preserve">sugar, </w:t>
      </w:r>
      <w:r w:rsidRPr="0037254C">
        <w:t>cocoa and coffee</w:t>
      </w:r>
      <w:r>
        <w:t>.</w:t>
      </w:r>
      <w:r w:rsidRPr="0037254C">
        <w:t xml:space="preserve"> </w:t>
      </w:r>
      <w:r>
        <w:t>F</w:t>
      </w:r>
      <w:r w:rsidRPr="006D1A2D">
        <w:t>ood</w:t>
      </w:r>
      <w:r w:rsidRPr="0037254C">
        <w:t xml:space="preserve"> inflation is </w:t>
      </w:r>
      <w:r>
        <w:t>subsequently projected to rise to around 2.6</w:t>
      </w:r>
      <w:r w:rsidRPr="006D1A2D">
        <w:t>%</w:t>
      </w:r>
      <w:r>
        <w:t xml:space="preserve"> at the end of 2026 and to increase further to 2.9% in 2027 owing to the delayed pass-through of higher energy prices. In 2028 food inflation is expected to decline to 2.3%, reflecting declining commodity prices and easing wage pressures.   </w:t>
      </w:r>
    </w:p>
    <w:p w14:paraId="14A432D5" w14:textId="1BCBC4F3" w:rsidR="00E24F39" w:rsidRDefault="00E24F39" w:rsidP="00E57A23">
      <w:pPr>
        <w:pStyle w:val="Chartright-Heading"/>
      </w:pPr>
      <w:r w:rsidRPr="00F01FA2">
        <w:rPr>
          <w:rStyle w:val="IntenseEmphasis"/>
        </w:rPr>
        <w:lastRenderedPageBreak/>
        <w:t xml:space="preserve">Chart </w:t>
      </w:r>
      <w:r w:rsidRPr="00F01FA2">
        <w:rPr>
          <w:rStyle w:val="IntenseEmphasis"/>
        </w:rPr>
        <w:fldChar w:fldCharType="begin"/>
      </w:r>
      <w:r w:rsidRPr="00F01FA2">
        <w:rPr>
          <w:rStyle w:val="IntenseEmphasis"/>
        </w:rPr>
        <w:instrText xml:space="preserve"> SEQ Chart \* ARABIC </w:instrText>
      </w:r>
      <w:r w:rsidRPr="00F01FA2">
        <w:rPr>
          <w:rStyle w:val="IntenseEmphasis"/>
        </w:rPr>
        <w:fldChar w:fldCharType="separate"/>
      </w:r>
      <w:r w:rsidR="004D705B">
        <w:rPr>
          <w:rStyle w:val="IntenseEmphasis"/>
          <w:noProof/>
        </w:rPr>
        <w:t>7</w:t>
      </w:r>
      <w:r w:rsidRPr="00F01FA2">
        <w:rPr>
          <w:rStyle w:val="IntenseEmphasis"/>
        </w:rPr>
        <w:fldChar w:fldCharType="end"/>
      </w:r>
      <w:r w:rsidRPr="00F01FA2">
        <w:br/>
        <w:t>Outlook for HICP energy and food inflation</w:t>
      </w:r>
    </w:p>
    <w:p w14:paraId="7A3ED537" w14:textId="77777777" w:rsidR="00E24F39" w:rsidRPr="00215A2A" w:rsidRDefault="00E24F39" w:rsidP="001377AC">
      <w:pPr>
        <w:pStyle w:val="Chartright-Informativetitle"/>
      </w:pPr>
      <w:r w:rsidRPr="001377AC">
        <w:t>a) HICP energy</w:t>
      </w:r>
    </w:p>
    <w:p w14:paraId="578695E4" w14:textId="77777777" w:rsidR="00E24F39" w:rsidRDefault="00E24F39" w:rsidP="001377AC">
      <w:pPr>
        <w:pStyle w:val="Chartright-Measure"/>
      </w:pPr>
      <w:r w:rsidRPr="00644C6E">
        <w:t>(annual percentage changes)</w:t>
      </w:r>
    </w:p>
    <w:p w14:paraId="61312FDB" w14:textId="5C1F5452" w:rsidR="00E24F39" w:rsidRDefault="00EC3905" w:rsidP="00215A2A">
      <w:pPr>
        <w:pStyle w:val="Chartright-Picture"/>
      </w:pPr>
      <w:r>
        <w:rPr>
          <w:noProof/>
        </w:rPr>
        <w:drawing>
          <wp:inline distT="0" distB="0" distL="0" distR="0" wp14:anchorId="0BC91953" wp14:editId="5382CDD5">
            <wp:extent cx="4535805" cy="2377440"/>
            <wp:effectExtent l="0" t="0" r="0" b="3810"/>
            <wp:docPr id="1349750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5805" cy="2377440"/>
                    </a:xfrm>
                    <a:prstGeom prst="rect">
                      <a:avLst/>
                    </a:prstGeom>
                    <a:noFill/>
                  </pic:spPr>
                </pic:pic>
              </a:graphicData>
            </a:graphic>
          </wp:inline>
        </w:drawing>
      </w:r>
    </w:p>
    <w:p w14:paraId="3705D135" w14:textId="77777777" w:rsidR="00E24F39" w:rsidRDefault="00E24F39" w:rsidP="001377AC">
      <w:pPr>
        <w:pStyle w:val="Chartright-Informativetitle"/>
      </w:pPr>
      <w:r>
        <w:br/>
      </w:r>
      <w:r w:rsidRPr="00215A2A">
        <w:t>b) HICP food</w:t>
      </w:r>
    </w:p>
    <w:p w14:paraId="7537A043" w14:textId="77777777" w:rsidR="00E24F39" w:rsidRDefault="00E24F39" w:rsidP="001377AC">
      <w:pPr>
        <w:pStyle w:val="Chartright-Measure"/>
      </w:pPr>
      <w:r w:rsidRPr="00215A2A">
        <w:t>(annual percentage changes)</w:t>
      </w:r>
    </w:p>
    <w:p w14:paraId="720C2B83" w14:textId="078328CE" w:rsidR="00E24F39" w:rsidRDefault="00EC3905" w:rsidP="00215A2A">
      <w:pPr>
        <w:pStyle w:val="Chartright-Picture"/>
      </w:pPr>
      <w:r>
        <w:rPr>
          <w:noProof/>
        </w:rPr>
        <w:drawing>
          <wp:inline distT="0" distB="0" distL="0" distR="0" wp14:anchorId="0080A7D0" wp14:editId="218BB3F3">
            <wp:extent cx="4535805" cy="2164080"/>
            <wp:effectExtent l="0" t="0" r="0" b="7620"/>
            <wp:docPr id="1782417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5805" cy="2164080"/>
                    </a:xfrm>
                    <a:prstGeom prst="rect">
                      <a:avLst/>
                    </a:prstGeom>
                    <a:noFill/>
                  </pic:spPr>
                </pic:pic>
              </a:graphicData>
            </a:graphic>
          </wp:inline>
        </w:drawing>
      </w:r>
    </w:p>
    <w:p w14:paraId="57EE467C" w14:textId="77777777" w:rsidR="00E24F39" w:rsidRPr="00F01FA2" w:rsidRDefault="00E24F39" w:rsidP="00E57A23">
      <w:pPr>
        <w:pStyle w:val="Chartright-SourcesNotes"/>
      </w:pPr>
      <w:r w:rsidRPr="00F01FA2">
        <w:t xml:space="preserve">Note: The vertical line indicates the start of the current projection horizon. </w:t>
      </w:r>
    </w:p>
    <w:p w14:paraId="6B12F3A9" w14:textId="6485EA21" w:rsidR="00E24F39" w:rsidRPr="0037254C" w:rsidRDefault="00E24F39" w:rsidP="00E57A23">
      <w:r w:rsidRPr="0037254C">
        <w:rPr>
          <w:rStyle w:val="IntenseEmphasis"/>
        </w:rPr>
        <w:t>HICPX inflation is expected to</w:t>
      </w:r>
      <w:r>
        <w:rPr>
          <w:rStyle w:val="IntenseEmphasis"/>
        </w:rPr>
        <w:t xml:space="preserve"> remain somewhat more persistent but to</w:t>
      </w:r>
      <w:r w:rsidRPr="0037254C">
        <w:rPr>
          <w:rStyle w:val="IntenseEmphasis"/>
        </w:rPr>
        <w:t xml:space="preserve"> </w:t>
      </w:r>
      <w:r>
        <w:rPr>
          <w:rStyle w:val="IntenseEmphasis"/>
        </w:rPr>
        <w:t>nevertheless moderate by 0.1 percentage points in each year of the horizon, falling</w:t>
      </w:r>
      <w:r w:rsidRPr="0037254C">
        <w:rPr>
          <w:rStyle w:val="IntenseEmphasis"/>
        </w:rPr>
        <w:t xml:space="preserve"> from 2.4% in 2025 to </w:t>
      </w:r>
      <w:r>
        <w:rPr>
          <w:rStyle w:val="IntenseEmphasis"/>
        </w:rPr>
        <w:t>2.1%</w:t>
      </w:r>
      <w:r w:rsidRPr="0037254C">
        <w:rPr>
          <w:rStyle w:val="IntenseEmphasis"/>
        </w:rPr>
        <w:t xml:space="preserve"> in</w:t>
      </w:r>
      <w:r>
        <w:rPr>
          <w:rStyle w:val="IntenseEmphasis"/>
        </w:rPr>
        <w:t xml:space="preserve"> 2028</w:t>
      </w:r>
      <w:r w:rsidRPr="0037254C">
        <w:rPr>
          <w:rStyle w:val="IntenseEmphasis"/>
        </w:rPr>
        <w:t xml:space="preserve"> </w:t>
      </w:r>
      <w:r>
        <w:rPr>
          <w:rStyle w:val="IntenseEmphasis"/>
        </w:rPr>
        <w:t>(</w:t>
      </w:r>
      <w:r>
        <w:rPr>
          <w:rStyle w:val="IntenseEmphasis"/>
        </w:rPr>
        <w:fldChar w:fldCharType="begin"/>
      </w:r>
      <w:r>
        <w:rPr>
          <w:rStyle w:val="IntenseEmphasis"/>
        </w:rPr>
        <w:instrText xml:space="preserve"> REF _Ref214987668 \h </w:instrText>
      </w:r>
      <w:r>
        <w:rPr>
          <w:rStyle w:val="IntenseEmphasis"/>
        </w:rPr>
      </w:r>
      <w:r>
        <w:rPr>
          <w:rStyle w:val="IntenseEmphasis"/>
        </w:rPr>
        <w:fldChar w:fldCharType="separate"/>
      </w:r>
      <w:r w:rsidR="004D705B" w:rsidRPr="007839D5">
        <w:rPr>
          <w:rStyle w:val="IntenseEmphasis"/>
        </w:rPr>
        <w:t xml:space="preserve">Chart </w:t>
      </w:r>
      <w:r w:rsidR="004D705B">
        <w:rPr>
          <w:rStyle w:val="IntenseEmphasis"/>
          <w:noProof/>
        </w:rPr>
        <w:t>8</w:t>
      </w:r>
      <w:r>
        <w:rPr>
          <w:rStyle w:val="IntenseEmphasis"/>
        </w:rPr>
        <w:fldChar w:fldCharType="end"/>
      </w:r>
      <w:r>
        <w:rPr>
          <w:rStyle w:val="IntenseEmphasis"/>
        </w:rPr>
        <w:t xml:space="preserve">). </w:t>
      </w:r>
      <w:r w:rsidRPr="00596C48">
        <w:t xml:space="preserve">While HICPX </w:t>
      </w:r>
      <w:r>
        <w:t xml:space="preserve">inflation </w:t>
      </w:r>
      <w:r w:rsidRPr="00596C48">
        <w:t>is also</w:t>
      </w:r>
      <w:r>
        <w:t xml:space="preserve"> </w:t>
      </w:r>
      <w:r w:rsidRPr="00596C48">
        <w:t xml:space="preserve">affected by cost pressures from higher energy prices, this is </w:t>
      </w:r>
      <w:r>
        <w:t xml:space="preserve">seen to be </w:t>
      </w:r>
      <w:r w:rsidRPr="00596C48">
        <w:t xml:space="preserve">tempered by somewhat </w:t>
      </w:r>
      <w:r>
        <w:t>lower</w:t>
      </w:r>
      <w:r w:rsidRPr="00596C48">
        <w:t xml:space="preserve"> labour cost pressures, the past appreciation of the euro and import penetration from China.</w:t>
      </w:r>
      <w:r>
        <w:rPr>
          <w:rStyle w:val="IntenseEmphasis"/>
        </w:rPr>
        <w:t xml:space="preserve"> </w:t>
      </w:r>
      <w:r w:rsidRPr="0037254C">
        <w:t xml:space="preserve">HICPX inflation </w:t>
      </w:r>
      <w:r>
        <w:t>is projected to be 2.3% in the first quarter of 2026 and to decline only very gradually to 2.1% by the end of the horizon</w:t>
      </w:r>
      <w:r w:rsidRPr="0037254C">
        <w:t xml:space="preserve">. </w:t>
      </w:r>
      <w:r>
        <w:t>Services inflation is expected to be pushed up by some energy-related cost pressures – in particular affecting transport services – although this will be tempered by a gradually easing of labour costs. Non-energy industrial goods</w:t>
      </w:r>
      <w:r w:rsidRPr="0037254C">
        <w:t xml:space="preserve"> inflation is expected to </w:t>
      </w:r>
      <w:r w:rsidRPr="00E133A7">
        <w:t>hover around</w:t>
      </w:r>
      <w:r>
        <w:t xml:space="preserve"> current levels</w:t>
      </w:r>
      <w:r w:rsidRPr="00E133A7">
        <w:t xml:space="preserve"> </w:t>
      </w:r>
      <w:r>
        <w:t xml:space="preserve">in the short term, reflecting </w:t>
      </w:r>
      <w:r w:rsidRPr="0037254C">
        <w:t xml:space="preserve">the </w:t>
      </w:r>
      <w:r>
        <w:t xml:space="preserve">dampening effects of the past </w:t>
      </w:r>
      <w:r>
        <w:lastRenderedPageBreak/>
        <w:t>appreciation of the euro</w:t>
      </w:r>
      <w:r w:rsidRPr="001F2A18">
        <w:t xml:space="preserve"> </w:t>
      </w:r>
      <w:r>
        <w:t xml:space="preserve">and </w:t>
      </w:r>
      <w:r w:rsidRPr="001F2A18">
        <w:t>import penetration from China</w:t>
      </w:r>
      <w:r>
        <w:t>, despite being partially offset by higher energy input cost pressures</w:t>
      </w:r>
      <w:r w:rsidRPr="001F2A18">
        <w:t>.</w:t>
      </w:r>
      <w:r>
        <w:t xml:space="preserve"> </w:t>
      </w:r>
    </w:p>
    <w:p w14:paraId="511A9AD2" w14:textId="1EEDF11F" w:rsidR="00E24F39" w:rsidRPr="00C04725" w:rsidRDefault="00E24F39" w:rsidP="00E57A23">
      <w:pPr>
        <w:pStyle w:val="Chartright-Heading"/>
      </w:pPr>
      <w:r w:rsidRPr="007839D5">
        <w:rPr>
          <w:rStyle w:val="IntenseEmphasis"/>
        </w:rPr>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sidR="004D705B">
        <w:rPr>
          <w:rStyle w:val="IntenseEmphasis"/>
          <w:noProof/>
        </w:rPr>
        <w:t>8</w:t>
      </w:r>
      <w:r w:rsidRPr="007839D5">
        <w:rPr>
          <w:rStyle w:val="IntenseEmphasis"/>
        </w:rPr>
        <w:fldChar w:fldCharType="end"/>
      </w:r>
      <w:r w:rsidRPr="007839D5">
        <w:br/>
      </w:r>
      <w:r w:rsidRPr="00C04725">
        <w:t>Euro area HICP inflation excluding energy and food</w:t>
      </w:r>
    </w:p>
    <w:p w14:paraId="04B25105" w14:textId="77777777" w:rsidR="00E24F39" w:rsidRDefault="00E24F39" w:rsidP="00E57A23">
      <w:pPr>
        <w:pStyle w:val="Chartright-Measure"/>
      </w:pPr>
      <w:r w:rsidRPr="00DD601F">
        <w:t xml:space="preserve">(annual percentage </w:t>
      </w:r>
      <w:r w:rsidRPr="008E1452">
        <w:t>changes</w:t>
      </w:r>
      <w:r w:rsidRPr="00DD601F">
        <w:t>)</w:t>
      </w:r>
    </w:p>
    <w:p w14:paraId="47DAE16A" w14:textId="269C160A" w:rsidR="00E24F39" w:rsidRPr="00C04725" w:rsidRDefault="00637789" w:rsidP="00E57A23">
      <w:pPr>
        <w:pStyle w:val="Chartright-Picture"/>
      </w:pPr>
      <w:r>
        <w:rPr>
          <w:noProof/>
        </w:rPr>
        <w:drawing>
          <wp:inline distT="0" distB="0" distL="0" distR="0" wp14:anchorId="3A51D79D" wp14:editId="20A64B1B">
            <wp:extent cx="4535805" cy="2164080"/>
            <wp:effectExtent l="0" t="0" r="0" b="7620"/>
            <wp:docPr id="634649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5805" cy="2164080"/>
                    </a:xfrm>
                    <a:prstGeom prst="rect">
                      <a:avLst/>
                    </a:prstGeom>
                    <a:noFill/>
                  </pic:spPr>
                </pic:pic>
              </a:graphicData>
            </a:graphic>
          </wp:inline>
        </w:drawing>
      </w:r>
    </w:p>
    <w:p w14:paraId="33068CFB" w14:textId="6B9D91E4" w:rsidR="00E24F39" w:rsidRDefault="00E24F39" w:rsidP="00E57A23">
      <w:pPr>
        <w:pStyle w:val="Chartright-SourcesNotes"/>
      </w:pPr>
      <w:r w:rsidRPr="00C565B1">
        <w:t>Notes: The vertical line indicates the start of the current projection horizon.</w:t>
      </w:r>
      <w:r w:rsidR="00401170">
        <w:t xml:space="preserve"> </w:t>
      </w:r>
      <w:r w:rsidR="00401170" w:rsidRPr="00401170">
        <w:t xml:space="preserve">This chart does not show uncertainty bands around the projections. This reflects the fact that the standard computation of the fan charts (based on historical projection errors) would not, in the present circumstances, provide a reliable indication of the </w:t>
      </w:r>
      <w:r w:rsidR="00240E29">
        <w:t>high</w:t>
      </w:r>
      <w:r w:rsidR="00401170" w:rsidRPr="00401170">
        <w:t xml:space="preserve"> uncertainty surrounding the current projections. Instead, in order to better illustrate the current uncertainty, alternative scenarios which assume varying degrees of severity of the economic impact of the war in the Middle East are presented in Section 3.</w:t>
      </w:r>
    </w:p>
    <w:p w14:paraId="1D5B3B1F" w14:textId="37554E3C" w:rsidR="00E24F39" w:rsidRDefault="00E24F39" w:rsidP="00E57A23">
      <w:r w:rsidRPr="0037254C">
        <w:rPr>
          <w:rStyle w:val="IntenseEmphasis"/>
        </w:rPr>
        <w:t xml:space="preserve">Compared with the </w:t>
      </w:r>
      <w:r>
        <w:rPr>
          <w:rStyle w:val="IntenseEmphasis"/>
        </w:rPr>
        <w:t>December</w:t>
      </w:r>
      <w:r w:rsidRPr="0037254C">
        <w:rPr>
          <w:rStyle w:val="IntenseEmphasis"/>
        </w:rPr>
        <w:t xml:space="preserve"> 2025 projections, headline HICP </w:t>
      </w:r>
      <w:r>
        <w:rPr>
          <w:rStyle w:val="IntenseEmphasis"/>
        </w:rPr>
        <w:t xml:space="preserve">inflation </w:t>
      </w:r>
      <w:r w:rsidRPr="0037254C">
        <w:rPr>
          <w:rStyle w:val="IntenseEmphasis"/>
        </w:rPr>
        <w:t xml:space="preserve">has been revised </w:t>
      </w:r>
      <w:r>
        <w:rPr>
          <w:rStyle w:val="IntenseEmphasis"/>
        </w:rPr>
        <w:t>up</w:t>
      </w:r>
      <w:r w:rsidRPr="0037254C">
        <w:rPr>
          <w:rStyle w:val="IntenseEmphasis"/>
        </w:rPr>
        <w:t xml:space="preserve"> by 0.</w:t>
      </w:r>
      <w:r>
        <w:rPr>
          <w:rStyle w:val="IntenseEmphasis"/>
        </w:rPr>
        <w:t>7</w:t>
      </w:r>
      <w:r w:rsidRPr="0037254C">
        <w:rPr>
          <w:rStyle w:val="IntenseEmphasis"/>
        </w:rPr>
        <w:t xml:space="preserve"> </w:t>
      </w:r>
      <w:r>
        <w:rPr>
          <w:rStyle w:val="IntenseEmphasis"/>
        </w:rPr>
        <w:t>percentage points</w:t>
      </w:r>
      <w:r w:rsidRPr="0037254C">
        <w:rPr>
          <w:rStyle w:val="IntenseEmphasis"/>
        </w:rPr>
        <w:t xml:space="preserve"> for 2026</w:t>
      </w:r>
      <w:r>
        <w:rPr>
          <w:rStyle w:val="IntenseEmphasis"/>
        </w:rPr>
        <w:t xml:space="preserve"> mainly owing to energy inflation, with much smaller upward revisions for 2027 and 2028 owing to the non-energy components </w:t>
      </w:r>
      <w:r w:rsidRPr="0037254C">
        <w:rPr>
          <w:rStyle w:val="IntenseEmphasis"/>
        </w:rPr>
        <w:t>(</w:t>
      </w:r>
      <w:r>
        <w:rPr>
          <w:rStyle w:val="IntenseEmphasis"/>
        </w:rPr>
        <w:fldChar w:fldCharType="begin"/>
      </w:r>
      <w:r>
        <w:rPr>
          <w:rStyle w:val="IntenseEmphasis"/>
        </w:rPr>
        <w:instrText xml:space="preserve"> REF _Ref213251974 \h </w:instrText>
      </w:r>
      <w:r>
        <w:rPr>
          <w:rStyle w:val="IntenseEmphasis"/>
        </w:rPr>
      </w:r>
      <w:r>
        <w:rPr>
          <w:rStyle w:val="IntenseEmphasis"/>
        </w:rPr>
        <w:fldChar w:fldCharType="separate"/>
      </w:r>
      <w:r w:rsidR="004D705B" w:rsidRPr="007839D5">
        <w:rPr>
          <w:rStyle w:val="IntenseEmphasis"/>
        </w:rPr>
        <w:t xml:space="preserve">Chart </w:t>
      </w:r>
      <w:r w:rsidR="004D705B">
        <w:rPr>
          <w:rStyle w:val="IntenseEmphasis"/>
          <w:noProof/>
        </w:rPr>
        <w:t>9</w:t>
      </w:r>
      <w:r>
        <w:rPr>
          <w:rStyle w:val="IntenseEmphasis"/>
        </w:rPr>
        <w:fldChar w:fldCharType="end"/>
      </w:r>
      <w:r w:rsidRPr="0037254C">
        <w:rPr>
          <w:rStyle w:val="IntenseEmphasis"/>
        </w:rPr>
        <w:t>).</w:t>
      </w:r>
      <w:r w:rsidRPr="0037254C">
        <w:t xml:space="preserve"> </w:t>
      </w:r>
      <w:r>
        <w:t>The up</w:t>
      </w:r>
      <w:r w:rsidRPr="006D1A2D">
        <w:t xml:space="preserve">ward revision </w:t>
      </w:r>
      <w:r>
        <w:t>to</w:t>
      </w:r>
      <w:r w:rsidRPr="006D1A2D">
        <w:t xml:space="preserve"> headline inflation</w:t>
      </w:r>
      <w:r>
        <w:t xml:space="preserve"> in 2026</w:t>
      </w:r>
      <w:r w:rsidRPr="006D1A2D">
        <w:t xml:space="preserve"> is </w:t>
      </w:r>
      <w:r>
        <w:t xml:space="preserve">mainly due to a strong upward revision to energy inflation in line with the assumptions. Energy inflation has been revised down throughout the rest of the projection horizon as a result of the rapid unwinding of the short-term spike in oil and wholesale gas price assumptions (see </w:t>
      </w:r>
      <w:r w:rsidRPr="00596C48">
        <w:rPr>
          <w:rStyle w:val="IntenseEmphasis"/>
        </w:rPr>
        <w:t>Box 2</w:t>
      </w:r>
      <w:r>
        <w:t>). The upward revision to headline inflation in 2027 and 2028 reflects the delayed pass-through of higher cost pressures from higher energy prices to the HICPX and food components. The upward revisions to food and HICPX inflation in part reflect a limited upward adjustment based on staff judgement to capture stronger pass-through effects from higher energy prices, which may be underestimated slightly by the standard modelling tools in the context of large shocks to energy prices.</w:t>
      </w:r>
    </w:p>
    <w:p w14:paraId="4FF7E81B" w14:textId="0CF6CDA6" w:rsidR="00E24F39" w:rsidRPr="00C04725" w:rsidRDefault="00E24F39" w:rsidP="00E57A23">
      <w:pPr>
        <w:pStyle w:val="Chartright-Heading"/>
      </w:pPr>
      <w:r w:rsidRPr="007839D5">
        <w:rPr>
          <w:rStyle w:val="IntenseEmphasis"/>
        </w:rPr>
        <w:lastRenderedPageBreak/>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sidR="004D705B">
        <w:rPr>
          <w:rStyle w:val="IntenseEmphasis"/>
          <w:noProof/>
        </w:rPr>
        <w:t>9</w:t>
      </w:r>
      <w:r w:rsidRPr="007839D5">
        <w:rPr>
          <w:rStyle w:val="IntenseEmphasis"/>
        </w:rPr>
        <w:fldChar w:fldCharType="end"/>
      </w:r>
      <w:r w:rsidRPr="007839D5">
        <w:br/>
      </w:r>
      <w:r w:rsidRPr="00C04725">
        <w:t xml:space="preserve">Revisions to the inflation projection compared with the </w:t>
      </w:r>
      <w:r>
        <w:t>December</w:t>
      </w:r>
      <w:r w:rsidRPr="00C04725">
        <w:t xml:space="preserve"> 2025 projections</w:t>
      </w:r>
    </w:p>
    <w:p w14:paraId="74903776" w14:textId="77777777" w:rsidR="00E24F39" w:rsidRPr="00C04725" w:rsidRDefault="00E24F39" w:rsidP="00E57A23">
      <w:pPr>
        <w:pStyle w:val="Chartright-Measure"/>
      </w:pPr>
      <w:r w:rsidRPr="00C04725">
        <w:t>(percentage points)</w:t>
      </w:r>
    </w:p>
    <w:p w14:paraId="5BAC9A09" w14:textId="77777777" w:rsidR="00E24F39" w:rsidRPr="00BF6914" w:rsidRDefault="00E24F39" w:rsidP="00E57A23">
      <w:pPr>
        <w:pStyle w:val="Chartright-Picture"/>
      </w:pPr>
      <w:r>
        <w:rPr>
          <w:noProof/>
        </w:rPr>
        <w:drawing>
          <wp:inline distT="0" distB="0" distL="0" distR="0" wp14:anchorId="38B132D3" wp14:editId="00F79070">
            <wp:extent cx="4542155" cy="2200910"/>
            <wp:effectExtent l="0" t="0" r="0" b="0"/>
            <wp:docPr id="23457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2155" cy="2200910"/>
                    </a:xfrm>
                    <a:prstGeom prst="rect">
                      <a:avLst/>
                    </a:prstGeom>
                    <a:noFill/>
                  </pic:spPr>
                </pic:pic>
              </a:graphicData>
            </a:graphic>
          </wp:inline>
        </w:drawing>
      </w:r>
    </w:p>
    <w:p w14:paraId="079E21F7" w14:textId="77777777" w:rsidR="00E24F39" w:rsidRPr="00C04725" w:rsidRDefault="00E24F39" w:rsidP="00E57A23">
      <w:pPr>
        <w:pStyle w:val="Chartright-SourcesNotes"/>
      </w:pPr>
      <w:r w:rsidRPr="00C04725">
        <w:t>Notes: The revisions are calculated based on unrounded figures.</w:t>
      </w:r>
    </w:p>
    <w:p w14:paraId="5889BA46" w14:textId="0A90D010" w:rsidR="00E24F39" w:rsidRPr="00C04725" w:rsidRDefault="00E24F39" w:rsidP="00E57A23">
      <w:pPr>
        <w:pStyle w:val="Chartright-Heading"/>
      </w:pPr>
      <w:r w:rsidRPr="00C565B1">
        <w:rPr>
          <w:rStyle w:val="IntenseEmphasis"/>
        </w:rPr>
        <w:t xml:space="preserve">Table </w:t>
      </w:r>
      <w:r w:rsidRPr="00C565B1">
        <w:rPr>
          <w:rStyle w:val="IntenseEmphasis"/>
        </w:rPr>
        <w:fldChar w:fldCharType="begin"/>
      </w:r>
      <w:r w:rsidRPr="00C565B1">
        <w:rPr>
          <w:rStyle w:val="IntenseEmphasis"/>
        </w:rPr>
        <w:instrText xml:space="preserve"> SEQ Table \* ARABIC </w:instrText>
      </w:r>
      <w:r w:rsidRPr="00C565B1">
        <w:rPr>
          <w:rStyle w:val="IntenseEmphasis"/>
        </w:rPr>
        <w:fldChar w:fldCharType="separate"/>
      </w:r>
      <w:r w:rsidR="004D705B">
        <w:rPr>
          <w:rStyle w:val="IntenseEmphasis"/>
          <w:noProof/>
        </w:rPr>
        <w:t>3</w:t>
      </w:r>
      <w:r w:rsidRPr="00C565B1">
        <w:rPr>
          <w:rStyle w:val="IntenseEmphasis"/>
        </w:rPr>
        <w:fldChar w:fldCharType="end"/>
      </w:r>
      <w:r w:rsidRPr="00C04725">
        <w:br/>
        <w:t>Price and cost developments for the euro area</w:t>
      </w:r>
    </w:p>
    <w:p w14:paraId="36BBFC74" w14:textId="77777777" w:rsidR="00E24F39" w:rsidRDefault="00E24F39" w:rsidP="00E57A23">
      <w:pPr>
        <w:pStyle w:val="Chartright-Measure"/>
      </w:pPr>
      <w:r w:rsidRPr="00BF6914">
        <w:t>(annual percentage changes, revisions in percentage points)</w:t>
      </w:r>
    </w:p>
    <w:tbl>
      <w:tblPr>
        <w:tblStyle w:val="Tablecentrealigned"/>
        <w:tblW w:w="0" w:type="auto"/>
        <w:tblLayout w:type="fixed"/>
        <w:tblLook w:val="06A0" w:firstRow="1" w:lastRow="0" w:firstColumn="1" w:lastColumn="0" w:noHBand="1" w:noVBand="1"/>
      </w:tblPr>
      <w:tblGrid>
        <w:gridCol w:w="2373"/>
        <w:gridCol w:w="596"/>
        <w:gridCol w:w="596"/>
        <w:gridCol w:w="597"/>
        <w:gridCol w:w="596"/>
        <w:gridCol w:w="596"/>
        <w:gridCol w:w="597"/>
        <w:gridCol w:w="596"/>
        <w:gridCol w:w="597"/>
      </w:tblGrid>
      <w:tr w:rsidR="00E24F39" w:rsidRPr="00DE4048" w14:paraId="4E8FE17E" w14:textId="77777777" w:rsidTr="00596C4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73" w:type="dxa"/>
            <w:noWrap/>
            <w:hideMark/>
          </w:tcPr>
          <w:p w14:paraId="64D0ACA1" w14:textId="77777777" w:rsidR="00E24F39" w:rsidRPr="007430DE" w:rsidRDefault="00E24F39" w:rsidP="00596C48">
            <w:pPr>
              <w:pStyle w:val="Tabletext"/>
            </w:pPr>
            <w:r w:rsidRPr="00DE4048">
              <w:t> </w:t>
            </w:r>
          </w:p>
        </w:tc>
        <w:tc>
          <w:tcPr>
            <w:tcW w:w="2385" w:type="dxa"/>
            <w:gridSpan w:val="4"/>
            <w:noWrap/>
            <w:hideMark/>
          </w:tcPr>
          <w:p w14:paraId="347B890F"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March 2026</w:t>
            </w:r>
          </w:p>
        </w:tc>
        <w:tc>
          <w:tcPr>
            <w:tcW w:w="2386" w:type="dxa"/>
            <w:gridSpan w:val="4"/>
            <w:noWrap/>
            <w:hideMark/>
          </w:tcPr>
          <w:p w14:paraId="0245E5DC"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Revisions vs December 2025</w:t>
            </w:r>
          </w:p>
        </w:tc>
      </w:tr>
      <w:tr w:rsidR="00E24F39" w:rsidRPr="00DE4048" w14:paraId="6D94C69D" w14:textId="77777777" w:rsidTr="00596C4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73" w:type="dxa"/>
            <w:noWrap/>
            <w:hideMark/>
          </w:tcPr>
          <w:p w14:paraId="00CA7DF0" w14:textId="77777777" w:rsidR="00E24F39" w:rsidRPr="007430DE" w:rsidRDefault="00E24F39" w:rsidP="00596C48">
            <w:pPr>
              <w:pStyle w:val="Tabletext"/>
            </w:pPr>
            <w:r w:rsidRPr="00DE4048">
              <w:t> </w:t>
            </w:r>
          </w:p>
        </w:tc>
        <w:tc>
          <w:tcPr>
            <w:tcW w:w="596" w:type="dxa"/>
            <w:noWrap/>
            <w:hideMark/>
          </w:tcPr>
          <w:p w14:paraId="734E1E86"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2025</w:t>
            </w:r>
          </w:p>
        </w:tc>
        <w:tc>
          <w:tcPr>
            <w:tcW w:w="596" w:type="dxa"/>
            <w:noWrap/>
            <w:hideMark/>
          </w:tcPr>
          <w:p w14:paraId="16F5FFAE"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2026</w:t>
            </w:r>
          </w:p>
        </w:tc>
        <w:tc>
          <w:tcPr>
            <w:tcW w:w="597" w:type="dxa"/>
            <w:noWrap/>
            <w:hideMark/>
          </w:tcPr>
          <w:p w14:paraId="765E851C"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2027</w:t>
            </w:r>
          </w:p>
        </w:tc>
        <w:tc>
          <w:tcPr>
            <w:tcW w:w="596" w:type="dxa"/>
            <w:noWrap/>
            <w:hideMark/>
          </w:tcPr>
          <w:p w14:paraId="23256747"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2028</w:t>
            </w:r>
          </w:p>
        </w:tc>
        <w:tc>
          <w:tcPr>
            <w:tcW w:w="596" w:type="dxa"/>
            <w:noWrap/>
            <w:hideMark/>
          </w:tcPr>
          <w:p w14:paraId="6CF7DC0B"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2025</w:t>
            </w:r>
          </w:p>
        </w:tc>
        <w:tc>
          <w:tcPr>
            <w:tcW w:w="597" w:type="dxa"/>
            <w:noWrap/>
            <w:hideMark/>
          </w:tcPr>
          <w:p w14:paraId="7BC1763F"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2026</w:t>
            </w:r>
          </w:p>
        </w:tc>
        <w:tc>
          <w:tcPr>
            <w:tcW w:w="596" w:type="dxa"/>
            <w:noWrap/>
            <w:hideMark/>
          </w:tcPr>
          <w:p w14:paraId="47E25096"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2027</w:t>
            </w:r>
          </w:p>
        </w:tc>
        <w:tc>
          <w:tcPr>
            <w:tcW w:w="597" w:type="dxa"/>
            <w:noWrap/>
            <w:hideMark/>
          </w:tcPr>
          <w:p w14:paraId="503A7484" w14:textId="77777777" w:rsidR="00E24F39" w:rsidRPr="007430DE" w:rsidRDefault="00E24F39" w:rsidP="00596C48">
            <w:pPr>
              <w:pStyle w:val="Tabletext"/>
              <w:cnfStyle w:val="100000000000" w:firstRow="1" w:lastRow="0" w:firstColumn="0" w:lastColumn="0" w:oddVBand="0" w:evenVBand="0" w:oddHBand="0" w:evenHBand="0" w:firstRowFirstColumn="0" w:firstRowLastColumn="0" w:lastRowFirstColumn="0" w:lastRowLastColumn="0"/>
            </w:pPr>
            <w:r w:rsidRPr="00DE4048">
              <w:t>2028</w:t>
            </w:r>
          </w:p>
        </w:tc>
      </w:tr>
      <w:tr w:rsidR="00E24F39" w:rsidRPr="00DE4048" w14:paraId="21A6420B"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373" w:type="dxa"/>
            <w:hideMark/>
          </w:tcPr>
          <w:p w14:paraId="7F946CFE" w14:textId="77777777" w:rsidR="00E24F39" w:rsidRPr="007430DE" w:rsidRDefault="00E24F39" w:rsidP="00596C48">
            <w:pPr>
              <w:pStyle w:val="Tabletext"/>
            </w:pPr>
            <w:r w:rsidRPr="00C75CAD">
              <w:t>HICP</w:t>
            </w:r>
          </w:p>
        </w:tc>
        <w:tc>
          <w:tcPr>
            <w:tcW w:w="596" w:type="dxa"/>
            <w:noWrap/>
            <w:hideMark/>
          </w:tcPr>
          <w:p w14:paraId="7C264521" w14:textId="77777777" w:rsidR="00E24F39" w:rsidRPr="007430DE"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5CAD">
              <w:t>2.1</w:t>
            </w:r>
          </w:p>
        </w:tc>
        <w:tc>
          <w:tcPr>
            <w:tcW w:w="596" w:type="dxa"/>
            <w:noWrap/>
            <w:hideMark/>
          </w:tcPr>
          <w:p w14:paraId="633702BD" w14:textId="77777777" w:rsidR="00E24F39" w:rsidRPr="007430DE"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5CAD">
              <w:t>2.6</w:t>
            </w:r>
          </w:p>
        </w:tc>
        <w:tc>
          <w:tcPr>
            <w:tcW w:w="597" w:type="dxa"/>
            <w:noWrap/>
            <w:hideMark/>
          </w:tcPr>
          <w:p w14:paraId="50710153" w14:textId="77777777" w:rsidR="00E24F39" w:rsidRPr="007430DE"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5CAD">
              <w:t>2.0</w:t>
            </w:r>
          </w:p>
        </w:tc>
        <w:tc>
          <w:tcPr>
            <w:tcW w:w="596" w:type="dxa"/>
            <w:tcBorders>
              <w:right w:val="single" w:sz="4" w:space="0" w:color="auto"/>
            </w:tcBorders>
            <w:noWrap/>
            <w:hideMark/>
          </w:tcPr>
          <w:p w14:paraId="1A4C9FE0" w14:textId="77777777" w:rsidR="00E24F39" w:rsidRPr="007430DE"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5CAD">
              <w:t>2.1</w:t>
            </w:r>
          </w:p>
        </w:tc>
        <w:tc>
          <w:tcPr>
            <w:tcW w:w="596" w:type="dxa"/>
            <w:tcBorders>
              <w:left w:val="single" w:sz="4" w:space="0" w:color="auto"/>
            </w:tcBorders>
            <w:noWrap/>
            <w:hideMark/>
          </w:tcPr>
          <w:p w14:paraId="089E1C3C" w14:textId="77777777" w:rsidR="00E24F39" w:rsidRPr="007430DE"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7" w:type="dxa"/>
            <w:noWrap/>
            <w:hideMark/>
          </w:tcPr>
          <w:p w14:paraId="34ADE4B1" w14:textId="77777777" w:rsidR="00E24F39" w:rsidRPr="007430DE"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5CAD">
              <w:t>0.7</w:t>
            </w:r>
          </w:p>
        </w:tc>
        <w:tc>
          <w:tcPr>
            <w:tcW w:w="596" w:type="dxa"/>
            <w:noWrap/>
            <w:hideMark/>
          </w:tcPr>
          <w:p w14:paraId="0E2B2B4D" w14:textId="77777777" w:rsidR="00E24F39" w:rsidRPr="007430DE"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5CAD">
              <w:t>0.2</w:t>
            </w:r>
          </w:p>
        </w:tc>
        <w:tc>
          <w:tcPr>
            <w:tcW w:w="597" w:type="dxa"/>
            <w:noWrap/>
            <w:hideMark/>
          </w:tcPr>
          <w:p w14:paraId="2928EA03" w14:textId="77777777" w:rsidR="00E24F39" w:rsidRPr="007430DE" w:rsidRDefault="00E24F39" w:rsidP="00596C48">
            <w:pPr>
              <w:pStyle w:val="Tabletext"/>
              <w:cnfStyle w:val="000000000000" w:firstRow="0" w:lastRow="0" w:firstColumn="0" w:lastColumn="0" w:oddVBand="0" w:evenVBand="0" w:oddHBand="0" w:evenHBand="0" w:firstRowFirstColumn="0" w:firstRowLastColumn="0" w:lastRowFirstColumn="0" w:lastRowLastColumn="0"/>
            </w:pPr>
            <w:r w:rsidRPr="00C75CAD">
              <w:t>0.1</w:t>
            </w:r>
          </w:p>
        </w:tc>
      </w:tr>
      <w:tr w:rsidR="00E24F39" w:rsidRPr="00DE4048" w14:paraId="0CF339E1"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373" w:type="dxa"/>
          </w:tcPr>
          <w:p w14:paraId="02406862" w14:textId="77777777" w:rsidR="00E24F39" w:rsidRPr="00C75CAD" w:rsidRDefault="00E24F39" w:rsidP="0034048D">
            <w:pPr>
              <w:pStyle w:val="Tabletext"/>
            </w:pPr>
            <w:r w:rsidRPr="00C75CAD">
              <w:t>HICP excluding ETS2</w:t>
            </w:r>
          </w:p>
        </w:tc>
        <w:tc>
          <w:tcPr>
            <w:tcW w:w="596" w:type="dxa"/>
            <w:noWrap/>
          </w:tcPr>
          <w:p w14:paraId="7BF1168B" w14:textId="77777777" w:rsidR="00E24F39" w:rsidRPr="00C75CAD"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2.1</w:t>
            </w:r>
          </w:p>
        </w:tc>
        <w:tc>
          <w:tcPr>
            <w:tcW w:w="596" w:type="dxa"/>
            <w:noWrap/>
          </w:tcPr>
          <w:p w14:paraId="6AFAD35F" w14:textId="77777777" w:rsidR="00E24F39" w:rsidRPr="00C75CAD"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2.6</w:t>
            </w:r>
          </w:p>
        </w:tc>
        <w:tc>
          <w:tcPr>
            <w:tcW w:w="597" w:type="dxa"/>
            <w:noWrap/>
          </w:tcPr>
          <w:p w14:paraId="338BE49D" w14:textId="77777777" w:rsidR="00E24F39" w:rsidRPr="00C75CAD"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2.0</w:t>
            </w:r>
          </w:p>
        </w:tc>
        <w:tc>
          <w:tcPr>
            <w:tcW w:w="596" w:type="dxa"/>
            <w:tcBorders>
              <w:right w:val="single" w:sz="4" w:space="0" w:color="auto"/>
            </w:tcBorders>
            <w:noWrap/>
          </w:tcPr>
          <w:p w14:paraId="18CE33AE" w14:textId="77777777" w:rsidR="00E24F39" w:rsidRPr="00C75CAD"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1.9</w:t>
            </w:r>
          </w:p>
        </w:tc>
        <w:tc>
          <w:tcPr>
            <w:tcW w:w="596" w:type="dxa"/>
            <w:tcBorders>
              <w:left w:val="single" w:sz="4" w:space="0" w:color="auto"/>
            </w:tcBorders>
            <w:noWrap/>
          </w:tcPr>
          <w:p w14:paraId="39A1491E" w14:textId="77777777" w:rsidR="00E24F39" w:rsidRPr="00C75CAD"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7" w:type="dxa"/>
            <w:noWrap/>
          </w:tcPr>
          <w:p w14:paraId="7B7ED27F" w14:textId="77777777" w:rsidR="00E24F39" w:rsidRPr="00C75CAD"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0.7</w:t>
            </w:r>
          </w:p>
        </w:tc>
        <w:tc>
          <w:tcPr>
            <w:tcW w:w="596" w:type="dxa"/>
            <w:noWrap/>
          </w:tcPr>
          <w:p w14:paraId="4B5E40BB" w14:textId="77777777" w:rsidR="00E24F39" w:rsidRPr="00C75CAD"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0.2</w:t>
            </w:r>
          </w:p>
        </w:tc>
        <w:tc>
          <w:tcPr>
            <w:tcW w:w="597" w:type="dxa"/>
            <w:noWrap/>
          </w:tcPr>
          <w:p w14:paraId="79E623AA" w14:textId="77777777" w:rsidR="00E24F39" w:rsidRPr="00C75CAD"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r>
      <w:tr w:rsidR="00E24F39" w:rsidRPr="00DE4048" w14:paraId="7081DA7D"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373" w:type="dxa"/>
            <w:hideMark/>
          </w:tcPr>
          <w:p w14:paraId="6A002FCC" w14:textId="77777777" w:rsidR="00E24F39" w:rsidRPr="007430DE" w:rsidRDefault="00E24F39" w:rsidP="0034048D">
            <w:pPr>
              <w:pStyle w:val="Tabletext"/>
            </w:pPr>
            <w:r w:rsidRPr="00C75CAD">
              <w:t>HICP excluding energy</w:t>
            </w:r>
          </w:p>
        </w:tc>
        <w:tc>
          <w:tcPr>
            <w:tcW w:w="596" w:type="dxa"/>
            <w:noWrap/>
            <w:hideMark/>
          </w:tcPr>
          <w:p w14:paraId="243694C1"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2.5</w:t>
            </w:r>
          </w:p>
        </w:tc>
        <w:tc>
          <w:tcPr>
            <w:tcW w:w="596" w:type="dxa"/>
            <w:noWrap/>
            <w:hideMark/>
          </w:tcPr>
          <w:p w14:paraId="5CF57C50"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2.3</w:t>
            </w:r>
          </w:p>
        </w:tc>
        <w:tc>
          <w:tcPr>
            <w:tcW w:w="597" w:type="dxa"/>
            <w:noWrap/>
            <w:hideMark/>
          </w:tcPr>
          <w:p w14:paraId="50AEFED9"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2.4</w:t>
            </w:r>
          </w:p>
        </w:tc>
        <w:tc>
          <w:tcPr>
            <w:tcW w:w="596" w:type="dxa"/>
            <w:tcBorders>
              <w:right w:val="single" w:sz="4" w:space="0" w:color="auto"/>
            </w:tcBorders>
            <w:noWrap/>
            <w:hideMark/>
          </w:tcPr>
          <w:p w14:paraId="6473B959"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2.2</w:t>
            </w:r>
          </w:p>
        </w:tc>
        <w:tc>
          <w:tcPr>
            <w:tcW w:w="596" w:type="dxa"/>
            <w:tcBorders>
              <w:left w:val="single" w:sz="4" w:space="0" w:color="auto"/>
            </w:tcBorders>
            <w:noWrap/>
            <w:hideMark/>
          </w:tcPr>
          <w:p w14:paraId="469A8876"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7" w:type="dxa"/>
            <w:noWrap/>
            <w:hideMark/>
          </w:tcPr>
          <w:p w14:paraId="3171FDBF"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c>
          <w:tcPr>
            <w:tcW w:w="596" w:type="dxa"/>
            <w:noWrap/>
            <w:hideMark/>
          </w:tcPr>
          <w:p w14:paraId="7D204AEB"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0.4</w:t>
            </w:r>
          </w:p>
        </w:tc>
        <w:tc>
          <w:tcPr>
            <w:tcW w:w="597" w:type="dxa"/>
            <w:noWrap/>
            <w:hideMark/>
          </w:tcPr>
          <w:p w14:paraId="5AE724F6"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0.2</w:t>
            </w:r>
          </w:p>
        </w:tc>
      </w:tr>
      <w:tr w:rsidR="00E24F39" w:rsidRPr="00DE4048" w14:paraId="2DDFAB6D"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373" w:type="dxa"/>
            <w:hideMark/>
          </w:tcPr>
          <w:p w14:paraId="40A7E78B" w14:textId="77777777" w:rsidR="00E24F39" w:rsidRPr="007430DE" w:rsidRDefault="00E24F39" w:rsidP="0034048D">
            <w:pPr>
              <w:pStyle w:val="Tabletext"/>
            </w:pPr>
            <w:r w:rsidRPr="00C75CAD">
              <w:t>HICP excluding energy and food</w:t>
            </w:r>
          </w:p>
        </w:tc>
        <w:tc>
          <w:tcPr>
            <w:tcW w:w="596" w:type="dxa"/>
            <w:noWrap/>
            <w:hideMark/>
          </w:tcPr>
          <w:p w14:paraId="046A9C56"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2.4</w:t>
            </w:r>
          </w:p>
        </w:tc>
        <w:tc>
          <w:tcPr>
            <w:tcW w:w="596" w:type="dxa"/>
            <w:noWrap/>
            <w:hideMark/>
          </w:tcPr>
          <w:p w14:paraId="08FC44BF"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2.3</w:t>
            </w:r>
          </w:p>
        </w:tc>
        <w:tc>
          <w:tcPr>
            <w:tcW w:w="597" w:type="dxa"/>
            <w:noWrap/>
            <w:hideMark/>
          </w:tcPr>
          <w:p w14:paraId="50E5FB06"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2.2</w:t>
            </w:r>
          </w:p>
        </w:tc>
        <w:tc>
          <w:tcPr>
            <w:tcW w:w="596" w:type="dxa"/>
            <w:tcBorders>
              <w:right w:val="single" w:sz="4" w:space="0" w:color="auto"/>
            </w:tcBorders>
            <w:noWrap/>
            <w:hideMark/>
          </w:tcPr>
          <w:p w14:paraId="21DBF265"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2.1</w:t>
            </w:r>
          </w:p>
        </w:tc>
        <w:tc>
          <w:tcPr>
            <w:tcW w:w="596" w:type="dxa"/>
            <w:tcBorders>
              <w:left w:val="single" w:sz="4" w:space="0" w:color="auto"/>
            </w:tcBorders>
            <w:noWrap/>
            <w:hideMark/>
          </w:tcPr>
          <w:p w14:paraId="0DEEBEAC"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7" w:type="dxa"/>
            <w:noWrap/>
            <w:hideMark/>
          </w:tcPr>
          <w:p w14:paraId="1B1585E2"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c>
          <w:tcPr>
            <w:tcW w:w="596" w:type="dxa"/>
            <w:noWrap/>
            <w:hideMark/>
          </w:tcPr>
          <w:p w14:paraId="23BDE7D3"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0.3</w:t>
            </w:r>
          </w:p>
        </w:tc>
        <w:tc>
          <w:tcPr>
            <w:tcW w:w="597" w:type="dxa"/>
            <w:noWrap/>
            <w:hideMark/>
          </w:tcPr>
          <w:p w14:paraId="47735062"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r>
      <w:tr w:rsidR="00E24F39" w:rsidRPr="00DE4048" w14:paraId="7AF56C0B" w14:textId="77777777" w:rsidTr="00596C48">
        <w:trPr>
          <w:trHeight w:val="285"/>
        </w:trPr>
        <w:tc>
          <w:tcPr>
            <w:cnfStyle w:val="001000000000" w:firstRow="0" w:lastRow="0" w:firstColumn="1" w:lastColumn="0" w:oddVBand="0" w:evenVBand="0" w:oddHBand="0" w:evenHBand="0" w:firstRowFirstColumn="0" w:firstRowLastColumn="0" w:lastRowFirstColumn="0" w:lastRowLastColumn="0"/>
            <w:tcW w:w="2373" w:type="dxa"/>
            <w:hideMark/>
          </w:tcPr>
          <w:p w14:paraId="78C036AE" w14:textId="77777777" w:rsidR="00E24F39" w:rsidRPr="007430DE" w:rsidRDefault="00E24F39" w:rsidP="0034048D">
            <w:pPr>
              <w:pStyle w:val="Tabletext"/>
            </w:pPr>
            <w:r w:rsidRPr="00C75CAD">
              <w:t>HICP energy</w:t>
            </w:r>
          </w:p>
        </w:tc>
        <w:tc>
          <w:tcPr>
            <w:tcW w:w="596" w:type="dxa"/>
            <w:noWrap/>
            <w:hideMark/>
          </w:tcPr>
          <w:p w14:paraId="00FEB95C"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-1.4</w:t>
            </w:r>
          </w:p>
        </w:tc>
        <w:tc>
          <w:tcPr>
            <w:tcW w:w="596" w:type="dxa"/>
            <w:noWrap/>
            <w:hideMark/>
          </w:tcPr>
          <w:p w14:paraId="4719B38C"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6.2</w:t>
            </w:r>
          </w:p>
        </w:tc>
        <w:tc>
          <w:tcPr>
            <w:tcW w:w="597" w:type="dxa"/>
            <w:noWrap/>
            <w:hideMark/>
          </w:tcPr>
          <w:p w14:paraId="4009D362"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-2.0</w:t>
            </w:r>
          </w:p>
        </w:tc>
        <w:tc>
          <w:tcPr>
            <w:tcW w:w="596" w:type="dxa"/>
            <w:tcBorders>
              <w:right w:val="single" w:sz="4" w:space="0" w:color="auto"/>
            </w:tcBorders>
            <w:noWrap/>
            <w:hideMark/>
          </w:tcPr>
          <w:p w14:paraId="53FF2D84"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0.7</w:t>
            </w:r>
          </w:p>
        </w:tc>
        <w:tc>
          <w:tcPr>
            <w:tcW w:w="596" w:type="dxa"/>
            <w:tcBorders>
              <w:left w:val="single" w:sz="4" w:space="0" w:color="auto"/>
            </w:tcBorders>
            <w:noWrap/>
            <w:hideMark/>
          </w:tcPr>
          <w:p w14:paraId="7F8215C3"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7" w:type="dxa"/>
            <w:noWrap/>
            <w:hideMark/>
          </w:tcPr>
          <w:p w14:paraId="3C89E0DC"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7.2</w:t>
            </w:r>
          </w:p>
        </w:tc>
        <w:tc>
          <w:tcPr>
            <w:tcW w:w="596" w:type="dxa"/>
            <w:noWrap/>
            <w:hideMark/>
          </w:tcPr>
          <w:p w14:paraId="10843E0D"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-2.0</w:t>
            </w:r>
          </w:p>
        </w:tc>
        <w:tc>
          <w:tcPr>
            <w:tcW w:w="597" w:type="dxa"/>
            <w:noWrap/>
            <w:hideMark/>
          </w:tcPr>
          <w:p w14:paraId="3C4D424E"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-1.5</w:t>
            </w:r>
          </w:p>
        </w:tc>
      </w:tr>
      <w:tr w:rsidR="00E24F39" w:rsidRPr="00DE4048" w14:paraId="6D7F0787" w14:textId="77777777" w:rsidTr="00596C48">
        <w:trPr>
          <w:trHeight w:val="285"/>
        </w:trPr>
        <w:tc>
          <w:tcPr>
            <w:cnfStyle w:val="001000000000" w:firstRow="0" w:lastRow="0" w:firstColumn="1" w:lastColumn="0" w:oddVBand="0" w:evenVBand="0" w:oddHBand="0" w:evenHBand="0" w:firstRowFirstColumn="0" w:firstRowLastColumn="0" w:lastRowFirstColumn="0" w:lastRowLastColumn="0"/>
            <w:tcW w:w="2373" w:type="dxa"/>
            <w:hideMark/>
          </w:tcPr>
          <w:p w14:paraId="343EEDAA" w14:textId="77777777" w:rsidR="00E24F39" w:rsidRPr="007430DE" w:rsidRDefault="00E24F39" w:rsidP="0034048D">
            <w:pPr>
              <w:pStyle w:val="Tabletext"/>
            </w:pPr>
            <w:r w:rsidRPr="00C75CAD">
              <w:t>HICP food</w:t>
            </w:r>
          </w:p>
        </w:tc>
        <w:tc>
          <w:tcPr>
            <w:tcW w:w="596" w:type="dxa"/>
            <w:noWrap/>
            <w:hideMark/>
          </w:tcPr>
          <w:p w14:paraId="6D305C69"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2.8</w:t>
            </w:r>
          </w:p>
        </w:tc>
        <w:tc>
          <w:tcPr>
            <w:tcW w:w="596" w:type="dxa"/>
            <w:noWrap/>
            <w:hideMark/>
          </w:tcPr>
          <w:p w14:paraId="7356172F"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2.4</w:t>
            </w:r>
          </w:p>
        </w:tc>
        <w:tc>
          <w:tcPr>
            <w:tcW w:w="597" w:type="dxa"/>
            <w:noWrap/>
            <w:hideMark/>
          </w:tcPr>
          <w:p w14:paraId="48C46DC5"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2.9</w:t>
            </w:r>
          </w:p>
        </w:tc>
        <w:tc>
          <w:tcPr>
            <w:tcW w:w="596" w:type="dxa"/>
            <w:tcBorders>
              <w:right w:val="single" w:sz="4" w:space="0" w:color="auto"/>
            </w:tcBorders>
            <w:noWrap/>
            <w:hideMark/>
          </w:tcPr>
          <w:p w14:paraId="32B3F69C"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2.3</w:t>
            </w:r>
          </w:p>
        </w:tc>
        <w:tc>
          <w:tcPr>
            <w:tcW w:w="596" w:type="dxa"/>
            <w:tcBorders>
              <w:left w:val="single" w:sz="4" w:space="0" w:color="auto"/>
            </w:tcBorders>
            <w:noWrap/>
            <w:hideMark/>
          </w:tcPr>
          <w:p w14:paraId="3D08828F"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7" w:type="dxa"/>
            <w:noWrap/>
            <w:hideMark/>
          </w:tcPr>
          <w:p w14:paraId="0A857128"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6" w:type="dxa"/>
            <w:noWrap/>
            <w:hideMark/>
          </w:tcPr>
          <w:p w14:paraId="3C52D0C4"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0.5</w:t>
            </w:r>
          </w:p>
        </w:tc>
        <w:tc>
          <w:tcPr>
            <w:tcW w:w="597" w:type="dxa"/>
            <w:noWrap/>
            <w:hideMark/>
          </w:tcPr>
          <w:p w14:paraId="501FC2BF"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r>
      <w:tr w:rsidR="00E24F39" w:rsidRPr="00DE4048" w14:paraId="4BFEE8D3"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373" w:type="dxa"/>
            <w:hideMark/>
          </w:tcPr>
          <w:p w14:paraId="3D50C6B2" w14:textId="77777777" w:rsidR="00E24F39" w:rsidRPr="007430DE" w:rsidRDefault="00E24F39" w:rsidP="0034048D">
            <w:pPr>
              <w:pStyle w:val="Tabletext"/>
            </w:pPr>
            <w:r w:rsidRPr="00C75CAD">
              <w:t>GDP deflator</w:t>
            </w:r>
          </w:p>
        </w:tc>
        <w:tc>
          <w:tcPr>
            <w:tcW w:w="596" w:type="dxa"/>
            <w:noWrap/>
            <w:hideMark/>
          </w:tcPr>
          <w:p w14:paraId="5EE36FDB"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2.5</w:t>
            </w:r>
          </w:p>
        </w:tc>
        <w:tc>
          <w:tcPr>
            <w:tcW w:w="596" w:type="dxa"/>
            <w:noWrap/>
            <w:hideMark/>
          </w:tcPr>
          <w:p w14:paraId="5647128D"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2.4</w:t>
            </w:r>
          </w:p>
        </w:tc>
        <w:tc>
          <w:tcPr>
            <w:tcW w:w="597" w:type="dxa"/>
            <w:noWrap/>
            <w:hideMark/>
          </w:tcPr>
          <w:p w14:paraId="7F9F9DEF"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2.3</w:t>
            </w:r>
          </w:p>
        </w:tc>
        <w:tc>
          <w:tcPr>
            <w:tcW w:w="596" w:type="dxa"/>
            <w:tcBorders>
              <w:right w:val="single" w:sz="4" w:space="0" w:color="auto"/>
            </w:tcBorders>
            <w:noWrap/>
            <w:hideMark/>
          </w:tcPr>
          <w:p w14:paraId="297ADD8D"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2.2</w:t>
            </w:r>
          </w:p>
        </w:tc>
        <w:tc>
          <w:tcPr>
            <w:tcW w:w="596" w:type="dxa"/>
            <w:tcBorders>
              <w:left w:val="single" w:sz="4" w:space="0" w:color="auto"/>
            </w:tcBorders>
            <w:noWrap/>
            <w:hideMark/>
          </w:tcPr>
          <w:p w14:paraId="69922A49"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c>
          <w:tcPr>
            <w:tcW w:w="597" w:type="dxa"/>
            <w:noWrap/>
            <w:hideMark/>
          </w:tcPr>
          <w:p w14:paraId="276D17F9"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0.2</w:t>
            </w:r>
          </w:p>
        </w:tc>
        <w:tc>
          <w:tcPr>
            <w:tcW w:w="596" w:type="dxa"/>
            <w:noWrap/>
            <w:hideMark/>
          </w:tcPr>
          <w:p w14:paraId="1F3D830D"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0.2</w:t>
            </w:r>
          </w:p>
        </w:tc>
        <w:tc>
          <w:tcPr>
            <w:tcW w:w="597" w:type="dxa"/>
            <w:noWrap/>
            <w:hideMark/>
          </w:tcPr>
          <w:p w14:paraId="15D94A2A"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r>
      <w:tr w:rsidR="00E24F39" w:rsidRPr="00DE4048" w14:paraId="5815C8E3"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373" w:type="dxa"/>
            <w:hideMark/>
          </w:tcPr>
          <w:p w14:paraId="0D36D001" w14:textId="77777777" w:rsidR="00E24F39" w:rsidRPr="007430DE" w:rsidRDefault="00E24F39" w:rsidP="0034048D">
            <w:pPr>
              <w:pStyle w:val="Tabletext"/>
            </w:pPr>
            <w:r w:rsidRPr="00C75CAD">
              <w:t>Import deflator</w:t>
            </w:r>
          </w:p>
        </w:tc>
        <w:tc>
          <w:tcPr>
            <w:tcW w:w="596" w:type="dxa"/>
            <w:noWrap/>
            <w:hideMark/>
          </w:tcPr>
          <w:p w14:paraId="0AD678AE"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c>
          <w:tcPr>
            <w:tcW w:w="596" w:type="dxa"/>
            <w:noWrap/>
            <w:hideMark/>
          </w:tcPr>
          <w:p w14:paraId="60E0552B"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4.3</w:t>
            </w:r>
          </w:p>
        </w:tc>
        <w:tc>
          <w:tcPr>
            <w:tcW w:w="597" w:type="dxa"/>
            <w:noWrap/>
            <w:hideMark/>
          </w:tcPr>
          <w:p w14:paraId="19304809"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1.4</w:t>
            </w:r>
          </w:p>
        </w:tc>
        <w:tc>
          <w:tcPr>
            <w:tcW w:w="596" w:type="dxa"/>
            <w:tcBorders>
              <w:right w:val="single" w:sz="4" w:space="0" w:color="auto"/>
            </w:tcBorders>
            <w:noWrap/>
            <w:hideMark/>
          </w:tcPr>
          <w:p w14:paraId="6C484CF2"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0.9</w:t>
            </w:r>
          </w:p>
        </w:tc>
        <w:tc>
          <w:tcPr>
            <w:tcW w:w="596" w:type="dxa"/>
            <w:tcBorders>
              <w:left w:val="single" w:sz="4" w:space="0" w:color="auto"/>
            </w:tcBorders>
            <w:noWrap/>
            <w:hideMark/>
          </w:tcPr>
          <w:p w14:paraId="2CBCCB4A"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7" w:type="dxa"/>
            <w:noWrap/>
            <w:hideMark/>
          </w:tcPr>
          <w:p w14:paraId="61CF9499"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3.6</w:t>
            </w:r>
          </w:p>
        </w:tc>
        <w:tc>
          <w:tcPr>
            <w:tcW w:w="596" w:type="dxa"/>
            <w:noWrap/>
            <w:hideMark/>
          </w:tcPr>
          <w:p w14:paraId="73848CB1"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-0.3</w:t>
            </w:r>
          </w:p>
        </w:tc>
        <w:tc>
          <w:tcPr>
            <w:tcW w:w="597" w:type="dxa"/>
            <w:noWrap/>
            <w:hideMark/>
          </w:tcPr>
          <w:p w14:paraId="3F165DB5"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-0.9</w:t>
            </w:r>
          </w:p>
        </w:tc>
      </w:tr>
      <w:tr w:rsidR="00E24F39" w:rsidRPr="00DE4048" w14:paraId="539815E0"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373" w:type="dxa"/>
            <w:hideMark/>
          </w:tcPr>
          <w:p w14:paraId="56C88807" w14:textId="77777777" w:rsidR="00E24F39" w:rsidRPr="007430DE" w:rsidRDefault="00E24F39" w:rsidP="0034048D">
            <w:pPr>
              <w:pStyle w:val="Tabletext"/>
            </w:pPr>
            <w:r w:rsidRPr="00C75CAD">
              <w:t>Private consumption deflator</w:t>
            </w:r>
          </w:p>
        </w:tc>
        <w:tc>
          <w:tcPr>
            <w:tcW w:w="596" w:type="dxa"/>
            <w:noWrap/>
            <w:hideMark/>
          </w:tcPr>
          <w:p w14:paraId="66174D08"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2.0</w:t>
            </w:r>
          </w:p>
        </w:tc>
        <w:tc>
          <w:tcPr>
            <w:tcW w:w="596" w:type="dxa"/>
            <w:noWrap/>
            <w:hideMark/>
          </w:tcPr>
          <w:p w14:paraId="26F3199A"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2.8</w:t>
            </w:r>
          </w:p>
        </w:tc>
        <w:tc>
          <w:tcPr>
            <w:tcW w:w="597" w:type="dxa"/>
            <w:noWrap/>
            <w:hideMark/>
          </w:tcPr>
          <w:p w14:paraId="5729FFC9"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2.0</w:t>
            </w:r>
          </w:p>
        </w:tc>
        <w:tc>
          <w:tcPr>
            <w:tcW w:w="596" w:type="dxa"/>
            <w:tcBorders>
              <w:right w:val="single" w:sz="4" w:space="0" w:color="auto"/>
            </w:tcBorders>
            <w:noWrap/>
            <w:hideMark/>
          </w:tcPr>
          <w:p w14:paraId="0146AFDE"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2.1</w:t>
            </w:r>
          </w:p>
        </w:tc>
        <w:tc>
          <w:tcPr>
            <w:tcW w:w="596" w:type="dxa"/>
            <w:tcBorders>
              <w:left w:val="single" w:sz="4" w:space="0" w:color="auto"/>
            </w:tcBorders>
            <w:noWrap/>
            <w:hideMark/>
          </w:tcPr>
          <w:p w14:paraId="0FD59611"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c>
          <w:tcPr>
            <w:tcW w:w="597" w:type="dxa"/>
            <w:noWrap/>
            <w:hideMark/>
          </w:tcPr>
          <w:p w14:paraId="0FEAC96B"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0.8</w:t>
            </w:r>
          </w:p>
        </w:tc>
        <w:tc>
          <w:tcPr>
            <w:tcW w:w="596" w:type="dxa"/>
            <w:noWrap/>
            <w:hideMark/>
          </w:tcPr>
          <w:p w14:paraId="3D3DD88A"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c>
          <w:tcPr>
            <w:tcW w:w="597" w:type="dxa"/>
            <w:noWrap/>
            <w:hideMark/>
          </w:tcPr>
          <w:p w14:paraId="08A8ECFB"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r>
      <w:tr w:rsidR="00E24F39" w:rsidRPr="00DE4048" w14:paraId="2B5F19CD" w14:textId="77777777" w:rsidTr="00596C48">
        <w:trPr>
          <w:trHeight w:val="255"/>
        </w:trPr>
        <w:tc>
          <w:tcPr>
            <w:cnfStyle w:val="001000000000" w:firstRow="0" w:lastRow="0" w:firstColumn="1" w:lastColumn="0" w:oddVBand="0" w:evenVBand="0" w:oddHBand="0" w:evenHBand="0" w:firstRowFirstColumn="0" w:firstRowLastColumn="0" w:lastRowFirstColumn="0" w:lastRowLastColumn="0"/>
            <w:tcW w:w="2373" w:type="dxa"/>
            <w:hideMark/>
          </w:tcPr>
          <w:p w14:paraId="0C8C112A" w14:textId="77777777" w:rsidR="00E24F39" w:rsidRPr="007430DE" w:rsidRDefault="00E24F39" w:rsidP="0034048D">
            <w:pPr>
              <w:pStyle w:val="Tabletext"/>
            </w:pPr>
            <w:r w:rsidRPr="00C75CAD">
              <w:t>Compensation per employee</w:t>
            </w:r>
          </w:p>
        </w:tc>
        <w:tc>
          <w:tcPr>
            <w:tcW w:w="596" w:type="dxa"/>
            <w:noWrap/>
            <w:hideMark/>
          </w:tcPr>
          <w:p w14:paraId="747B231D"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3.9</w:t>
            </w:r>
          </w:p>
        </w:tc>
        <w:tc>
          <w:tcPr>
            <w:tcW w:w="596" w:type="dxa"/>
            <w:noWrap/>
            <w:hideMark/>
          </w:tcPr>
          <w:p w14:paraId="32FF0BD8"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3.4</w:t>
            </w:r>
          </w:p>
        </w:tc>
        <w:tc>
          <w:tcPr>
            <w:tcW w:w="597" w:type="dxa"/>
            <w:noWrap/>
            <w:hideMark/>
          </w:tcPr>
          <w:p w14:paraId="7D761E21"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3.2</w:t>
            </w:r>
          </w:p>
        </w:tc>
        <w:tc>
          <w:tcPr>
            <w:tcW w:w="596" w:type="dxa"/>
            <w:tcBorders>
              <w:right w:val="single" w:sz="4" w:space="0" w:color="auto"/>
            </w:tcBorders>
            <w:noWrap/>
            <w:hideMark/>
          </w:tcPr>
          <w:p w14:paraId="376ECED3"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3.1</w:t>
            </w:r>
          </w:p>
        </w:tc>
        <w:tc>
          <w:tcPr>
            <w:tcW w:w="596" w:type="dxa"/>
            <w:tcBorders>
              <w:left w:val="single" w:sz="4" w:space="0" w:color="auto"/>
            </w:tcBorders>
            <w:noWrap/>
            <w:hideMark/>
          </w:tcPr>
          <w:p w14:paraId="310151CA"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c>
          <w:tcPr>
            <w:tcW w:w="597" w:type="dxa"/>
            <w:noWrap/>
            <w:hideMark/>
          </w:tcPr>
          <w:p w14:paraId="1AAB83C2"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0.2</w:t>
            </w:r>
          </w:p>
        </w:tc>
        <w:tc>
          <w:tcPr>
            <w:tcW w:w="596" w:type="dxa"/>
            <w:noWrap/>
            <w:hideMark/>
          </w:tcPr>
          <w:p w14:paraId="40EA66FE"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0.3</w:t>
            </w:r>
          </w:p>
        </w:tc>
        <w:tc>
          <w:tcPr>
            <w:tcW w:w="597" w:type="dxa"/>
            <w:noWrap/>
            <w:hideMark/>
          </w:tcPr>
          <w:p w14:paraId="7B7DFCFB"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r>
      <w:tr w:rsidR="00E24F39" w:rsidRPr="00DE4048" w14:paraId="21457C87" w14:textId="77777777" w:rsidTr="00596C48">
        <w:trPr>
          <w:trHeight w:val="286"/>
        </w:trPr>
        <w:tc>
          <w:tcPr>
            <w:cnfStyle w:val="001000000000" w:firstRow="0" w:lastRow="0" w:firstColumn="1" w:lastColumn="0" w:oddVBand="0" w:evenVBand="0" w:oddHBand="0" w:evenHBand="0" w:firstRowFirstColumn="0" w:firstRowLastColumn="0" w:lastRowFirstColumn="0" w:lastRowLastColumn="0"/>
            <w:tcW w:w="2373" w:type="dxa"/>
            <w:hideMark/>
          </w:tcPr>
          <w:p w14:paraId="7A6DA79C" w14:textId="77777777" w:rsidR="00E24F39" w:rsidRPr="007430DE" w:rsidRDefault="00E24F39" w:rsidP="0034048D">
            <w:pPr>
              <w:pStyle w:val="Tabletext"/>
            </w:pPr>
            <w:r w:rsidRPr="00C75CAD">
              <w:t>Real compensation per employee</w:t>
            </w:r>
          </w:p>
        </w:tc>
        <w:tc>
          <w:tcPr>
            <w:tcW w:w="596" w:type="dxa"/>
            <w:noWrap/>
            <w:hideMark/>
          </w:tcPr>
          <w:p w14:paraId="5BC3F937"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1.8</w:t>
            </w:r>
          </w:p>
        </w:tc>
        <w:tc>
          <w:tcPr>
            <w:tcW w:w="596" w:type="dxa"/>
            <w:noWrap/>
            <w:hideMark/>
          </w:tcPr>
          <w:p w14:paraId="083CA267"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0.6</w:t>
            </w:r>
          </w:p>
        </w:tc>
        <w:tc>
          <w:tcPr>
            <w:tcW w:w="597" w:type="dxa"/>
            <w:noWrap/>
            <w:hideMark/>
          </w:tcPr>
          <w:p w14:paraId="192F00B8"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1.2</w:t>
            </w:r>
          </w:p>
        </w:tc>
        <w:tc>
          <w:tcPr>
            <w:tcW w:w="596" w:type="dxa"/>
            <w:tcBorders>
              <w:right w:val="single" w:sz="4" w:space="0" w:color="auto"/>
            </w:tcBorders>
            <w:noWrap/>
            <w:hideMark/>
          </w:tcPr>
          <w:p w14:paraId="3B3B4845"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1.0</w:t>
            </w:r>
          </w:p>
        </w:tc>
        <w:tc>
          <w:tcPr>
            <w:tcW w:w="596" w:type="dxa"/>
            <w:tcBorders>
              <w:left w:val="single" w:sz="4" w:space="0" w:color="auto"/>
            </w:tcBorders>
            <w:noWrap/>
            <w:hideMark/>
          </w:tcPr>
          <w:p w14:paraId="6C504619"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c>
          <w:tcPr>
            <w:tcW w:w="597" w:type="dxa"/>
            <w:noWrap/>
            <w:hideMark/>
          </w:tcPr>
          <w:p w14:paraId="5E9E0E6A"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-0.6</w:t>
            </w:r>
          </w:p>
        </w:tc>
        <w:tc>
          <w:tcPr>
            <w:tcW w:w="596" w:type="dxa"/>
            <w:noWrap/>
            <w:hideMark/>
          </w:tcPr>
          <w:p w14:paraId="709BD08C"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0.2</w:t>
            </w:r>
          </w:p>
        </w:tc>
        <w:tc>
          <w:tcPr>
            <w:tcW w:w="597" w:type="dxa"/>
            <w:noWrap/>
            <w:hideMark/>
          </w:tcPr>
          <w:p w14:paraId="249C751C"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0.2</w:t>
            </w:r>
          </w:p>
        </w:tc>
      </w:tr>
      <w:tr w:rsidR="00E24F39" w:rsidRPr="00DE4048" w14:paraId="5631A35F" w14:textId="77777777" w:rsidTr="00596C48">
        <w:trPr>
          <w:trHeight w:val="270"/>
        </w:trPr>
        <w:tc>
          <w:tcPr>
            <w:cnfStyle w:val="001000000000" w:firstRow="0" w:lastRow="0" w:firstColumn="1" w:lastColumn="0" w:oddVBand="0" w:evenVBand="0" w:oddHBand="0" w:evenHBand="0" w:firstRowFirstColumn="0" w:firstRowLastColumn="0" w:lastRowFirstColumn="0" w:lastRowLastColumn="0"/>
            <w:tcW w:w="2373" w:type="dxa"/>
            <w:hideMark/>
          </w:tcPr>
          <w:p w14:paraId="01C71A38" w14:textId="77777777" w:rsidR="00E24F39" w:rsidRPr="007430DE" w:rsidRDefault="00E24F39" w:rsidP="0034048D">
            <w:pPr>
              <w:pStyle w:val="Tabletext"/>
            </w:pPr>
            <w:r w:rsidRPr="00C75CAD">
              <w:t>Productivity per employee</w:t>
            </w:r>
          </w:p>
        </w:tc>
        <w:tc>
          <w:tcPr>
            <w:tcW w:w="596" w:type="dxa"/>
            <w:noWrap/>
            <w:hideMark/>
          </w:tcPr>
          <w:p w14:paraId="4E457B48"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0.7</w:t>
            </w:r>
          </w:p>
        </w:tc>
        <w:tc>
          <w:tcPr>
            <w:tcW w:w="596" w:type="dxa"/>
            <w:noWrap/>
            <w:hideMark/>
          </w:tcPr>
          <w:p w14:paraId="5A97680D"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0.4</w:t>
            </w:r>
          </w:p>
        </w:tc>
        <w:tc>
          <w:tcPr>
            <w:tcW w:w="597" w:type="dxa"/>
            <w:noWrap/>
            <w:hideMark/>
          </w:tcPr>
          <w:p w14:paraId="7D7FA4F8"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0.9</w:t>
            </w:r>
          </w:p>
        </w:tc>
        <w:tc>
          <w:tcPr>
            <w:tcW w:w="596" w:type="dxa"/>
            <w:tcBorders>
              <w:right w:val="single" w:sz="4" w:space="0" w:color="auto"/>
            </w:tcBorders>
            <w:noWrap/>
            <w:hideMark/>
          </w:tcPr>
          <w:p w14:paraId="24E8ADAA"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1.0</w:t>
            </w:r>
          </w:p>
        </w:tc>
        <w:tc>
          <w:tcPr>
            <w:tcW w:w="596" w:type="dxa"/>
            <w:tcBorders>
              <w:left w:val="single" w:sz="4" w:space="0" w:color="auto"/>
            </w:tcBorders>
            <w:noWrap/>
            <w:hideMark/>
          </w:tcPr>
          <w:p w14:paraId="0D5B1812"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7" w:type="dxa"/>
            <w:noWrap/>
            <w:hideMark/>
          </w:tcPr>
          <w:p w14:paraId="7AB71EB0"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-0.2</w:t>
            </w:r>
          </w:p>
        </w:tc>
        <w:tc>
          <w:tcPr>
            <w:tcW w:w="596" w:type="dxa"/>
            <w:noWrap/>
            <w:hideMark/>
          </w:tcPr>
          <w:p w14:paraId="5E212FF6"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c>
          <w:tcPr>
            <w:tcW w:w="597" w:type="dxa"/>
            <w:noWrap/>
            <w:hideMark/>
          </w:tcPr>
          <w:p w14:paraId="3A39CB1B"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0.1</w:t>
            </w:r>
          </w:p>
        </w:tc>
      </w:tr>
      <w:tr w:rsidR="00E24F39" w:rsidRPr="00DE4048" w14:paraId="328026DC" w14:textId="77777777" w:rsidTr="00596C48">
        <w:trPr>
          <w:trHeight w:val="270"/>
        </w:trPr>
        <w:tc>
          <w:tcPr>
            <w:cnfStyle w:val="001000000000" w:firstRow="0" w:lastRow="0" w:firstColumn="1" w:lastColumn="0" w:oddVBand="0" w:evenVBand="0" w:oddHBand="0" w:evenHBand="0" w:firstRowFirstColumn="0" w:firstRowLastColumn="0" w:lastRowFirstColumn="0" w:lastRowLastColumn="0"/>
            <w:tcW w:w="2373" w:type="dxa"/>
            <w:hideMark/>
          </w:tcPr>
          <w:p w14:paraId="4955682D" w14:textId="77777777" w:rsidR="00E24F39" w:rsidRPr="007430DE" w:rsidRDefault="00E24F39" w:rsidP="0034048D">
            <w:pPr>
              <w:pStyle w:val="Tabletext"/>
            </w:pPr>
            <w:r w:rsidRPr="00C75CAD">
              <w:t>Unit labour costs</w:t>
            </w:r>
          </w:p>
        </w:tc>
        <w:tc>
          <w:tcPr>
            <w:tcW w:w="596" w:type="dxa"/>
            <w:noWrap/>
            <w:hideMark/>
          </w:tcPr>
          <w:p w14:paraId="6C8A5911"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3.1</w:t>
            </w:r>
          </w:p>
        </w:tc>
        <w:tc>
          <w:tcPr>
            <w:tcW w:w="596" w:type="dxa"/>
            <w:noWrap/>
            <w:hideMark/>
          </w:tcPr>
          <w:p w14:paraId="1287CF66"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3.0</w:t>
            </w:r>
          </w:p>
        </w:tc>
        <w:tc>
          <w:tcPr>
            <w:tcW w:w="597" w:type="dxa"/>
            <w:noWrap/>
            <w:hideMark/>
          </w:tcPr>
          <w:p w14:paraId="7F2C3705"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2.3</w:t>
            </w:r>
          </w:p>
        </w:tc>
        <w:tc>
          <w:tcPr>
            <w:tcW w:w="596" w:type="dxa"/>
            <w:tcBorders>
              <w:right w:val="single" w:sz="4" w:space="0" w:color="auto"/>
            </w:tcBorders>
            <w:noWrap/>
            <w:hideMark/>
          </w:tcPr>
          <w:p w14:paraId="5E47B925"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2.1</w:t>
            </w:r>
          </w:p>
        </w:tc>
        <w:tc>
          <w:tcPr>
            <w:tcW w:w="596" w:type="dxa"/>
            <w:tcBorders>
              <w:left w:val="single" w:sz="4" w:space="0" w:color="auto"/>
            </w:tcBorders>
            <w:noWrap/>
            <w:hideMark/>
          </w:tcPr>
          <w:p w14:paraId="0096A3E0"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-0.2</w:t>
            </w:r>
          </w:p>
        </w:tc>
        <w:tc>
          <w:tcPr>
            <w:tcW w:w="597" w:type="dxa"/>
            <w:noWrap/>
            <w:hideMark/>
          </w:tcPr>
          <w:p w14:paraId="2E197D47"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0.4</w:t>
            </w:r>
          </w:p>
        </w:tc>
        <w:tc>
          <w:tcPr>
            <w:tcW w:w="596" w:type="dxa"/>
            <w:noWrap/>
            <w:hideMark/>
          </w:tcPr>
          <w:p w14:paraId="22E7C96A"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0.3</w:t>
            </w:r>
          </w:p>
        </w:tc>
        <w:tc>
          <w:tcPr>
            <w:tcW w:w="597" w:type="dxa"/>
            <w:noWrap/>
            <w:hideMark/>
          </w:tcPr>
          <w:p w14:paraId="3126A477" w14:textId="77777777" w:rsidR="00E24F39" w:rsidRPr="007430DE" w:rsidRDefault="00E24F39" w:rsidP="0034048D">
            <w:pPr>
              <w:pStyle w:val="Tabletext"/>
              <w:cnfStyle w:val="000000000000" w:firstRow="0" w:lastRow="0" w:firstColumn="0" w:lastColumn="0" w:oddVBand="0" w:evenVBand="0" w:oddHBand="0" w:evenHBand="0" w:firstRowFirstColumn="0" w:firstRowLastColumn="0" w:lastRowFirstColumn="0" w:lastRowLastColumn="0"/>
            </w:pPr>
            <w:r w:rsidRPr="00C75CAD">
              <w:t>0.0</w:t>
            </w:r>
          </w:p>
        </w:tc>
      </w:tr>
    </w:tbl>
    <w:p w14:paraId="795F9BE6" w14:textId="20398127" w:rsidR="00E24F39" w:rsidRDefault="00E24F39" w:rsidP="00E57A23">
      <w:pPr>
        <w:pStyle w:val="Chartright-SourcesNotes"/>
      </w:pPr>
      <w:r w:rsidRPr="00C565B1">
        <w:t>Notes: Revisions are calculated using figures</w:t>
      </w:r>
      <w:r>
        <w:t xml:space="preserve"> rounded to one decimal place</w:t>
      </w:r>
      <w:r w:rsidRPr="00C565B1">
        <w:t xml:space="preserve">. The </w:t>
      </w:r>
      <w:r>
        <w:t xml:space="preserve">figures for the </w:t>
      </w:r>
      <w:r w:rsidRPr="00C565B1">
        <w:t xml:space="preserve">GDP and import deflators, unit labour costs, compensation per employee and productivity </w:t>
      </w:r>
      <w:r>
        <w:t xml:space="preserve">per employee </w:t>
      </w:r>
      <w:r w:rsidRPr="00C565B1">
        <w:t>refer to seasonally and working day-adjusted data. Historical data may differ from the latest Eurostat publications owing to data releases after the cut-off date for the projections.</w:t>
      </w:r>
      <w:r w:rsidRPr="007430DE">
        <w:rPr>
          <w:rFonts w:eastAsiaTheme="minorEastAsia"/>
        </w:rPr>
        <w:t xml:space="preserve"> </w:t>
      </w:r>
      <w:r w:rsidRPr="001052F7">
        <w:rPr>
          <w:rFonts w:eastAsiaTheme="minorEastAsia"/>
        </w:rPr>
        <w:t>Data are available for downloading, also at quarterly frequency, from the</w:t>
      </w:r>
      <w:r>
        <w:rPr>
          <w:rFonts w:eastAsiaTheme="minorEastAsia"/>
        </w:rPr>
        <w:t xml:space="preserve"> </w:t>
      </w:r>
      <w:hyperlink r:id="rId37" w:history="1">
        <w:r w:rsidRPr="001052F7">
          <w:rPr>
            <w:rStyle w:val="Hyperlink"/>
            <w:rFonts w:eastAsiaTheme="minorEastAsia"/>
          </w:rPr>
          <w:t>Macroeconomic Projection Database</w:t>
        </w:r>
      </w:hyperlink>
      <w:r>
        <w:rPr>
          <w:rFonts w:eastAsiaTheme="minorEastAsia"/>
        </w:rPr>
        <w:t xml:space="preserve"> </w:t>
      </w:r>
      <w:r w:rsidRPr="001052F7">
        <w:rPr>
          <w:rFonts w:eastAsiaTheme="minorEastAsia"/>
        </w:rPr>
        <w:t>on the ECB’s website.</w:t>
      </w:r>
    </w:p>
    <w:p w14:paraId="63ECC42C" w14:textId="7E1CCA48" w:rsidR="00E24F39" w:rsidRDefault="00E24F39" w:rsidP="000E0AFE">
      <w:r w:rsidRPr="0056305A">
        <w:rPr>
          <w:rStyle w:val="IntenseEmphasis"/>
        </w:rPr>
        <w:t xml:space="preserve">Nominal wage growth is expected to ease further </w:t>
      </w:r>
      <w:r>
        <w:rPr>
          <w:rStyle w:val="IntenseEmphasis"/>
        </w:rPr>
        <w:t>in</w:t>
      </w:r>
      <w:r w:rsidRPr="0056305A">
        <w:rPr>
          <w:rStyle w:val="IntenseEmphasis"/>
        </w:rPr>
        <w:t xml:space="preserve"> 2026 and then move </w:t>
      </w:r>
      <w:r>
        <w:rPr>
          <w:rStyle w:val="IntenseEmphasis"/>
        </w:rPr>
        <w:t xml:space="preserve">broadly </w:t>
      </w:r>
      <w:r w:rsidRPr="0056305A">
        <w:rPr>
          <w:rStyle w:val="IntenseEmphasis"/>
        </w:rPr>
        <w:t>sideways over the remainder of the projection horizon</w:t>
      </w:r>
      <w:r>
        <w:rPr>
          <w:rStyle w:val="IntenseEmphasis"/>
        </w:rPr>
        <w:t>, albeit at a higher rate than foreseen in the December projections</w:t>
      </w:r>
      <w:r w:rsidRPr="0056305A">
        <w:rPr>
          <w:rStyle w:val="IntenseEmphasis"/>
        </w:rPr>
        <w:t>.</w:t>
      </w:r>
      <w:r w:rsidRPr="0056305A">
        <w:t xml:space="preserve"> </w:t>
      </w:r>
      <w:r>
        <w:t>According to Eurostat data, g</w:t>
      </w:r>
      <w:r w:rsidRPr="0056305A">
        <w:t xml:space="preserve">rowth in compensation per employee </w:t>
      </w:r>
      <w:r>
        <w:t>de</w:t>
      </w:r>
      <w:r w:rsidRPr="0056305A">
        <w:t xml:space="preserve">creased to </w:t>
      </w:r>
      <w:r>
        <w:t>3.7</w:t>
      </w:r>
      <w:r w:rsidRPr="0056305A">
        <w:t xml:space="preserve">% in the </w:t>
      </w:r>
      <w:r>
        <w:t>fourth</w:t>
      </w:r>
      <w:r w:rsidRPr="0056305A">
        <w:t xml:space="preserve"> quarter of 2025, </w:t>
      </w:r>
      <w:r>
        <w:t xml:space="preserve">compared with 3.9% foreseen </w:t>
      </w:r>
      <w:r w:rsidRPr="0056305A">
        <w:t xml:space="preserve">in the </w:t>
      </w:r>
      <w:r>
        <w:t>Dec</w:t>
      </w:r>
      <w:r w:rsidRPr="0056305A">
        <w:t xml:space="preserve">ember projections. It is expected to </w:t>
      </w:r>
      <w:r>
        <w:t>slow from 3</w:t>
      </w:r>
      <w:r w:rsidRPr="0056305A">
        <w:t>.</w:t>
      </w:r>
      <w:r>
        <w:t>9</w:t>
      </w:r>
      <w:r w:rsidRPr="0056305A">
        <w:t xml:space="preserve">% </w:t>
      </w:r>
      <w:r>
        <w:t xml:space="preserve">on average in </w:t>
      </w:r>
      <w:r w:rsidRPr="0056305A">
        <w:t xml:space="preserve">2025 to </w:t>
      </w:r>
      <w:r>
        <w:t>3.1% in the last quarter of 2026</w:t>
      </w:r>
      <w:r w:rsidRPr="0056305A">
        <w:t xml:space="preserve">, and </w:t>
      </w:r>
      <w:r>
        <w:t xml:space="preserve">then to remain broadly around this level </w:t>
      </w:r>
      <w:r w:rsidRPr="0056305A">
        <w:t xml:space="preserve">in </w:t>
      </w:r>
      <w:r>
        <w:t>2027-</w:t>
      </w:r>
      <w:r w:rsidRPr="0056305A">
        <w:t>2</w:t>
      </w:r>
      <w:r>
        <w:t>8</w:t>
      </w:r>
      <w:r w:rsidRPr="0056305A">
        <w:t xml:space="preserve"> (</w:t>
      </w:r>
      <w:r w:rsidRPr="0056305A">
        <w:rPr>
          <w:rStyle w:val="IntenseEmphasis"/>
        </w:rPr>
        <w:fldChar w:fldCharType="begin"/>
      </w:r>
      <w:r w:rsidRPr="0056305A">
        <w:instrText xml:space="preserve"> REF _Ref182855151 \h </w:instrText>
      </w:r>
      <w:r w:rsidRPr="0056305A">
        <w:rPr>
          <w:rStyle w:val="IntenseEmphasis"/>
        </w:rPr>
      </w:r>
      <w:r w:rsidRPr="0056305A">
        <w:rPr>
          <w:rStyle w:val="IntenseEmphasis"/>
        </w:rPr>
        <w:fldChar w:fldCharType="separate"/>
      </w:r>
      <w:r w:rsidR="004D705B" w:rsidRPr="0056305A">
        <w:rPr>
          <w:rStyle w:val="IntenseEmphasis"/>
        </w:rPr>
        <w:t xml:space="preserve">Chart </w:t>
      </w:r>
      <w:r w:rsidR="004D705B">
        <w:rPr>
          <w:rStyle w:val="IntenseEmphasis"/>
          <w:noProof/>
        </w:rPr>
        <w:t>10</w:t>
      </w:r>
      <w:r w:rsidRPr="0056305A">
        <w:rPr>
          <w:rStyle w:val="IntenseEmphasis"/>
        </w:rPr>
        <w:fldChar w:fldCharType="end"/>
      </w:r>
      <w:r w:rsidRPr="0056305A">
        <w:t xml:space="preserve">, panel a). Real wage growth is </w:t>
      </w:r>
      <w:r w:rsidRPr="0056305A">
        <w:lastRenderedPageBreak/>
        <w:t xml:space="preserve">projected to decline </w:t>
      </w:r>
      <w:r>
        <w:t xml:space="preserve">in 2026 </w:t>
      </w:r>
      <w:r w:rsidRPr="0056305A">
        <w:t>and gradually converge towards productivity growth in the latter half of the projection horizon (</w:t>
      </w:r>
      <w:r w:rsidRPr="0056305A">
        <w:rPr>
          <w:rStyle w:val="IntenseEmphasis"/>
        </w:rPr>
        <w:fldChar w:fldCharType="begin"/>
      </w:r>
      <w:r w:rsidRPr="0056305A">
        <w:instrText xml:space="preserve"> REF _Ref182855151 \h </w:instrText>
      </w:r>
      <w:r w:rsidRPr="0056305A">
        <w:rPr>
          <w:rStyle w:val="IntenseEmphasis"/>
        </w:rPr>
      </w:r>
      <w:r w:rsidRPr="0056305A">
        <w:rPr>
          <w:rStyle w:val="IntenseEmphasis"/>
        </w:rPr>
        <w:fldChar w:fldCharType="separate"/>
      </w:r>
      <w:r w:rsidR="004D705B" w:rsidRPr="0056305A">
        <w:rPr>
          <w:rStyle w:val="IntenseEmphasis"/>
        </w:rPr>
        <w:t xml:space="preserve">Chart </w:t>
      </w:r>
      <w:r w:rsidR="004D705B">
        <w:rPr>
          <w:rStyle w:val="IntenseEmphasis"/>
          <w:noProof/>
        </w:rPr>
        <w:t>10</w:t>
      </w:r>
      <w:r w:rsidRPr="0056305A">
        <w:rPr>
          <w:rStyle w:val="IntenseEmphasis"/>
        </w:rPr>
        <w:fldChar w:fldCharType="end"/>
      </w:r>
      <w:r w:rsidRPr="0056305A">
        <w:t xml:space="preserve">, panel b). Compared with the </w:t>
      </w:r>
      <w:r>
        <w:t>Dec</w:t>
      </w:r>
      <w:r w:rsidRPr="0056305A">
        <w:t xml:space="preserve">ember 2025 projections, growth </w:t>
      </w:r>
      <w:r>
        <w:t xml:space="preserve">in compensation per employee </w:t>
      </w:r>
      <w:r w:rsidRPr="0056305A">
        <w:t xml:space="preserve">has been revised </w:t>
      </w:r>
      <w:r>
        <w:t xml:space="preserve">up over the full projection horizon reflecting some </w:t>
      </w:r>
      <w:r w:rsidRPr="009A13A7">
        <w:t xml:space="preserve">inflation compensation effects related to the energy </w:t>
      </w:r>
      <w:r>
        <w:t xml:space="preserve">price </w:t>
      </w:r>
      <w:r w:rsidRPr="009A13A7">
        <w:t>shock</w:t>
      </w:r>
      <w:r>
        <w:t xml:space="preserve">. </w:t>
      </w:r>
    </w:p>
    <w:p w14:paraId="36705CE2" w14:textId="77777777" w:rsidR="00EC3905" w:rsidRDefault="00EC3905" w:rsidP="00EC3905">
      <w:pPr>
        <w:pStyle w:val="Chartright-Heading"/>
      </w:pPr>
      <w:r w:rsidRPr="0056305A">
        <w:rPr>
          <w:rStyle w:val="IntenseEmphasis"/>
        </w:rPr>
        <w:t xml:space="preserve">Chart </w:t>
      </w:r>
      <w:r w:rsidRPr="0056305A">
        <w:rPr>
          <w:rStyle w:val="IntenseEmphasis"/>
        </w:rPr>
        <w:fldChar w:fldCharType="begin"/>
      </w:r>
      <w:r w:rsidRPr="0056305A">
        <w:rPr>
          <w:rStyle w:val="IntenseEmphasis"/>
        </w:rPr>
        <w:instrText xml:space="preserve"> SEQ Chart \* ARABIC </w:instrText>
      </w:r>
      <w:r w:rsidRPr="0056305A">
        <w:rPr>
          <w:rStyle w:val="IntenseEmphasis"/>
        </w:rPr>
        <w:fldChar w:fldCharType="separate"/>
      </w:r>
      <w:r>
        <w:rPr>
          <w:rStyle w:val="IntenseEmphasis"/>
          <w:noProof/>
        </w:rPr>
        <w:t>10</w:t>
      </w:r>
      <w:r w:rsidRPr="0056305A">
        <w:rPr>
          <w:rStyle w:val="IntenseEmphasis"/>
        </w:rPr>
        <w:fldChar w:fldCharType="end"/>
      </w:r>
      <w:r w:rsidRPr="0056305A">
        <w:br/>
        <w:t>Outlook for wage developments</w:t>
      </w:r>
    </w:p>
    <w:p w14:paraId="0FA81CC0" w14:textId="77777777" w:rsidR="00EC3905" w:rsidRPr="001002D4" w:rsidRDefault="00EC3905" w:rsidP="00EC3905">
      <w:pPr>
        <w:pStyle w:val="Chartright-Informativetitle"/>
      </w:pPr>
      <w:r w:rsidRPr="001377AC">
        <w:t>a) Compensation per employee</w:t>
      </w:r>
    </w:p>
    <w:p w14:paraId="3F63B2A3" w14:textId="77777777" w:rsidR="00EC3905" w:rsidRDefault="00EC3905" w:rsidP="00EC3905">
      <w:pPr>
        <w:pStyle w:val="Chartright-Measure"/>
      </w:pPr>
      <w:r w:rsidRPr="0056305A">
        <w:t>(percentage points of annual percentage changes)</w:t>
      </w:r>
    </w:p>
    <w:p w14:paraId="6EC8FC97" w14:textId="77777777" w:rsidR="00EC3905" w:rsidRDefault="00EC3905" w:rsidP="00EC3905">
      <w:pPr>
        <w:pStyle w:val="Chartright-Picture"/>
      </w:pPr>
      <w:r>
        <w:rPr>
          <w:noProof/>
        </w:rPr>
        <w:drawing>
          <wp:inline distT="0" distB="0" distL="0" distR="0" wp14:anchorId="7171A68E" wp14:editId="300F8A67">
            <wp:extent cx="4535805" cy="2158365"/>
            <wp:effectExtent l="0" t="0" r="0" b="0"/>
            <wp:docPr id="7539361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5805" cy="2158365"/>
                    </a:xfrm>
                    <a:prstGeom prst="rect">
                      <a:avLst/>
                    </a:prstGeom>
                    <a:noFill/>
                  </pic:spPr>
                </pic:pic>
              </a:graphicData>
            </a:graphic>
          </wp:inline>
        </w:drawing>
      </w:r>
    </w:p>
    <w:p w14:paraId="2F8F23D8" w14:textId="77777777" w:rsidR="00EC3905" w:rsidRPr="001002D4" w:rsidRDefault="00EC3905" w:rsidP="00EC3905">
      <w:pPr>
        <w:pStyle w:val="Chartright-Informativetitle"/>
      </w:pPr>
      <w:r>
        <w:br/>
      </w:r>
      <w:r w:rsidRPr="001377AC">
        <w:t>b) Real compensation per employee and productivity</w:t>
      </w:r>
    </w:p>
    <w:p w14:paraId="215EDA08" w14:textId="77777777" w:rsidR="00EC3905" w:rsidRDefault="00EC3905" w:rsidP="00EC3905">
      <w:pPr>
        <w:pStyle w:val="Chartright-Measure"/>
      </w:pPr>
      <w:r w:rsidRPr="0056305A">
        <w:t>(annual percentage change)</w:t>
      </w:r>
    </w:p>
    <w:p w14:paraId="4EDF2019" w14:textId="77777777" w:rsidR="00EC3905" w:rsidRDefault="00EC3905" w:rsidP="00EC3905">
      <w:pPr>
        <w:pStyle w:val="Chartright-Picture"/>
      </w:pPr>
      <w:r>
        <w:rPr>
          <w:noProof/>
        </w:rPr>
        <w:drawing>
          <wp:inline distT="0" distB="0" distL="0" distR="0" wp14:anchorId="5F3D4BC9" wp14:editId="4D914AF7">
            <wp:extent cx="4535805" cy="2273935"/>
            <wp:effectExtent l="0" t="0" r="0" b="0"/>
            <wp:docPr id="4810855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5805" cy="2273935"/>
                    </a:xfrm>
                    <a:prstGeom prst="rect">
                      <a:avLst/>
                    </a:prstGeom>
                    <a:noFill/>
                  </pic:spPr>
                </pic:pic>
              </a:graphicData>
            </a:graphic>
          </wp:inline>
        </w:drawing>
      </w:r>
    </w:p>
    <w:p w14:paraId="60DF4BF3" w14:textId="77777777" w:rsidR="00EC3905" w:rsidRDefault="00EC3905" w:rsidP="00EC3905">
      <w:pPr>
        <w:pStyle w:val="Chartright-SourcesNotes"/>
      </w:pPr>
      <w:r w:rsidRPr="0056305A">
        <w:t xml:space="preserve">Notes: The vertical line indicates the start of the current projection horizon. </w:t>
      </w:r>
      <w:r>
        <w:t>In p</w:t>
      </w:r>
      <w:r w:rsidRPr="0056305A">
        <w:t>anel b)</w:t>
      </w:r>
      <w:r>
        <w:t>, the figures are</w:t>
      </w:r>
      <w:r w:rsidRPr="0056305A">
        <w:t xml:space="preserve"> deflated by the private consumption deflator.</w:t>
      </w:r>
    </w:p>
    <w:p w14:paraId="0D2EA6BA" w14:textId="77777777" w:rsidR="00E24F39" w:rsidRDefault="00E24F39" w:rsidP="000E0AFE">
      <w:r w:rsidRPr="0056305A">
        <w:rPr>
          <w:rStyle w:val="IntenseEmphasis"/>
        </w:rPr>
        <w:t xml:space="preserve">Growth in unit labour costs is projected to </w:t>
      </w:r>
      <w:r>
        <w:rPr>
          <w:rStyle w:val="IntenseEmphasis"/>
        </w:rPr>
        <w:t xml:space="preserve">moderate only slightly in </w:t>
      </w:r>
      <w:r w:rsidRPr="0056305A">
        <w:rPr>
          <w:rStyle w:val="IntenseEmphasis"/>
        </w:rPr>
        <w:t>202</w:t>
      </w:r>
      <w:r>
        <w:rPr>
          <w:rStyle w:val="IntenseEmphasis"/>
        </w:rPr>
        <w:t>6</w:t>
      </w:r>
      <w:r w:rsidRPr="0056305A">
        <w:rPr>
          <w:rStyle w:val="IntenseEmphasis"/>
        </w:rPr>
        <w:t>, driven by lower wage growth</w:t>
      </w:r>
      <w:r>
        <w:rPr>
          <w:rStyle w:val="IntenseEmphasis"/>
        </w:rPr>
        <w:t xml:space="preserve"> which is</w:t>
      </w:r>
      <w:r w:rsidRPr="0056305A">
        <w:rPr>
          <w:rStyle w:val="IntenseEmphasis"/>
        </w:rPr>
        <w:t xml:space="preserve"> </w:t>
      </w:r>
      <w:r>
        <w:rPr>
          <w:rStyle w:val="IntenseEmphasis"/>
        </w:rPr>
        <w:t>partially offset by lower</w:t>
      </w:r>
      <w:r w:rsidRPr="0056305A">
        <w:rPr>
          <w:rStyle w:val="IntenseEmphasis"/>
        </w:rPr>
        <w:t xml:space="preserve"> productivity</w:t>
      </w:r>
      <w:r>
        <w:rPr>
          <w:rStyle w:val="IntenseEmphasis"/>
        </w:rPr>
        <w:t xml:space="preserve"> growth</w:t>
      </w:r>
      <w:r w:rsidRPr="0056305A">
        <w:rPr>
          <w:rStyle w:val="IntenseEmphasis"/>
        </w:rPr>
        <w:t xml:space="preserve">, and </w:t>
      </w:r>
      <w:r>
        <w:rPr>
          <w:rStyle w:val="IntenseEmphasis"/>
        </w:rPr>
        <w:t>then</w:t>
      </w:r>
      <w:r w:rsidRPr="0056305A">
        <w:rPr>
          <w:rStyle w:val="IntenseEmphasis"/>
        </w:rPr>
        <w:t xml:space="preserve"> to </w:t>
      </w:r>
      <w:r>
        <w:rPr>
          <w:rStyle w:val="IntenseEmphasis"/>
        </w:rPr>
        <w:t xml:space="preserve">decline further in </w:t>
      </w:r>
      <w:r w:rsidRPr="0056305A">
        <w:rPr>
          <w:rStyle w:val="IntenseEmphasis"/>
        </w:rPr>
        <w:t>2028</w:t>
      </w:r>
      <w:r>
        <w:rPr>
          <w:rStyle w:val="IntenseEmphasis"/>
        </w:rPr>
        <w:t xml:space="preserve"> as productivity growth recovers. </w:t>
      </w:r>
      <w:r w:rsidRPr="0056305A">
        <w:t>On average, unit labour cost growth is expected to moderate from 3.</w:t>
      </w:r>
      <w:r>
        <w:t>1</w:t>
      </w:r>
      <w:r w:rsidRPr="0056305A">
        <w:t xml:space="preserve">% in 2025 to </w:t>
      </w:r>
      <w:r>
        <w:t>3</w:t>
      </w:r>
      <w:r w:rsidRPr="0056305A">
        <w:t>.</w:t>
      </w:r>
      <w:r>
        <w:t>0</w:t>
      </w:r>
      <w:r w:rsidRPr="0056305A">
        <w:t>% in 2026 and</w:t>
      </w:r>
      <w:r>
        <w:t xml:space="preserve"> to </w:t>
      </w:r>
      <w:r w:rsidRPr="0056305A">
        <w:t>2.</w:t>
      </w:r>
      <w:r>
        <w:t>1</w:t>
      </w:r>
      <w:r w:rsidRPr="0056305A">
        <w:t>% in 2028.</w:t>
      </w:r>
      <w:r>
        <w:t xml:space="preserve"> </w:t>
      </w:r>
      <w:r w:rsidRPr="007C7DF0">
        <w:t xml:space="preserve">GDP deflator </w:t>
      </w:r>
      <w:r>
        <w:t xml:space="preserve">growth </w:t>
      </w:r>
      <w:r w:rsidRPr="007C7DF0">
        <w:t xml:space="preserve">is expected to </w:t>
      </w:r>
      <w:r>
        <w:t xml:space="preserve">decline </w:t>
      </w:r>
      <w:r w:rsidRPr="00666557">
        <w:t xml:space="preserve">from an average of 2.5% in 2025 </w:t>
      </w:r>
      <w:r>
        <w:t>to</w:t>
      </w:r>
      <w:r w:rsidRPr="007C7DF0">
        <w:t xml:space="preserve"> 2.2% in 2028</w:t>
      </w:r>
      <w:r>
        <w:t xml:space="preserve"> o</w:t>
      </w:r>
      <w:r w:rsidRPr="00666557">
        <w:t xml:space="preserve">n the back of lower growth in unit labour </w:t>
      </w:r>
      <w:r w:rsidRPr="00666557">
        <w:lastRenderedPageBreak/>
        <w:t>costs</w:t>
      </w:r>
      <w:r w:rsidRPr="007C7DF0">
        <w:t xml:space="preserve">. </w:t>
      </w:r>
      <w:r w:rsidRPr="00666557">
        <w:t xml:space="preserve">Compared with the </w:t>
      </w:r>
      <w:r>
        <w:t>December</w:t>
      </w:r>
      <w:r w:rsidRPr="00666557">
        <w:t xml:space="preserve"> 2025 projections, GDP deflator growth has been revised up </w:t>
      </w:r>
      <w:r>
        <w:t>somewhat over the projection horizon</w:t>
      </w:r>
      <w:r w:rsidRPr="00666557">
        <w:t xml:space="preserve">. </w:t>
      </w:r>
    </w:p>
    <w:p w14:paraId="51BEDFC6" w14:textId="77777777" w:rsidR="00E24F39" w:rsidRDefault="00E24F39" w:rsidP="000E0AFE">
      <w:r w:rsidRPr="009F233E">
        <w:rPr>
          <w:rStyle w:val="IntenseEmphasis"/>
        </w:rPr>
        <w:t xml:space="preserve">While recent outturns for import prices have been dampened by the appreciation of the euro and </w:t>
      </w:r>
      <w:r>
        <w:rPr>
          <w:rStyle w:val="IntenseEmphasis"/>
        </w:rPr>
        <w:t>low-cost</w:t>
      </w:r>
      <w:r w:rsidRPr="009F233E">
        <w:rPr>
          <w:rStyle w:val="IntenseEmphasis"/>
        </w:rPr>
        <w:t xml:space="preserve"> sourcing from China, they are expected to increase </w:t>
      </w:r>
      <w:r>
        <w:rPr>
          <w:rStyle w:val="IntenseEmphasis"/>
        </w:rPr>
        <w:t>sharply</w:t>
      </w:r>
      <w:r w:rsidRPr="009F233E">
        <w:rPr>
          <w:rStyle w:val="IntenseEmphasis"/>
        </w:rPr>
        <w:t xml:space="preserve"> in the second quarter of 2026, driven by energy commodit</w:t>
      </w:r>
      <w:r>
        <w:rPr>
          <w:rStyle w:val="IntenseEmphasis"/>
        </w:rPr>
        <w:t>y prices</w:t>
      </w:r>
      <w:r w:rsidRPr="007C7DF0">
        <w:t xml:space="preserve">. </w:t>
      </w:r>
      <w:r>
        <w:t>In</w:t>
      </w:r>
      <w:r w:rsidRPr="0056305A">
        <w:t xml:space="preserve"> annual terms, the growth rate of the import deflator is projected to rise from -0.1% in 2025 to </w:t>
      </w:r>
      <w:r>
        <w:t>4.3</w:t>
      </w:r>
      <w:r w:rsidRPr="0056305A">
        <w:t>% in 2026</w:t>
      </w:r>
      <w:r>
        <w:t>.</w:t>
      </w:r>
      <w:r w:rsidRPr="0056305A">
        <w:t xml:space="preserve"> </w:t>
      </w:r>
      <w:r>
        <w:t>Thereafter</w:t>
      </w:r>
      <w:r w:rsidRPr="00E135A7">
        <w:t xml:space="preserve"> </w:t>
      </w:r>
      <w:r>
        <w:t>it</w:t>
      </w:r>
      <w:r w:rsidRPr="00E135A7">
        <w:t xml:space="preserve"> is projected to </w:t>
      </w:r>
      <w:r>
        <w:t xml:space="preserve">decline quickly, </w:t>
      </w:r>
      <w:r w:rsidRPr="00E135A7">
        <w:t xml:space="preserve">reflecting </w:t>
      </w:r>
      <w:r>
        <w:t>the assumed declines in energy prices</w:t>
      </w:r>
      <w:r w:rsidRPr="00E135A7">
        <w:t>.</w:t>
      </w:r>
      <w:r w:rsidRPr="00F67ED2">
        <w:t xml:space="preserve"> </w:t>
      </w:r>
    </w:p>
    <w:p w14:paraId="2766B2E5" w14:textId="77777777" w:rsidR="00E24F39" w:rsidRPr="00693A71" w:rsidRDefault="00E24F39" w:rsidP="00556BCF">
      <w:pPr>
        <w:pStyle w:val="Box-Heading"/>
      </w:pPr>
      <w:bookmarkStart w:id="6" w:name="_Toc224823013"/>
      <w:r w:rsidRPr="00693A71">
        <w:rPr>
          <w:rStyle w:val="IntenseEmphasis"/>
        </w:rPr>
        <w:t xml:space="preserve">Box </w:t>
      </w:r>
      <w:r>
        <w:rPr>
          <w:rStyle w:val="IntenseEmphasis"/>
        </w:rPr>
        <w:t>3</w:t>
      </w:r>
      <w:r w:rsidRPr="00693A71">
        <w:rPr>
          <w:rStyle w:val="IntenseEmphasis"/>
        </w:rPr>
        <w:br/>
      </w:r>
      <w:r>
        <w:t>Fiscal outlook</w:t>
      </w:r>
      <w:r w:rsidRPr="00693A71">
        <w:rPr>
          <w:rStyle w:val="FootnoteReference"/>
        </w:rPr>
        <w:footnoteReference w:id="12"/>
      </w:r>
      <w:bookmarkEnd w:id="6"/>
    </w:p>
    <w:p w14:paraId="29E9CB84" w14:textId="2A7B89F0" w:rsidR="00E24F39" w:rsidRDefault="00E24F39" w:rsidP="00B3695A">
      <w:pPr>
        <w:pStyle w:val="Box-Text"/>
      </w:pPr>
      <w:r>
        <w:rPr>
          <w:rStyle w:val="IntenseEmphasis"/>
        </w:rPr>
        <w:t>After loosening slightly in 2025, t</w:t>
      </w:r>
      <w:r w:rsidRPr="005C30B7">
        <w:rPr>
          <w:rStyle w:val="IntenseEmphasis"/>
        </w:rPr>
        <w:t>he euro area fiscal stance is projected to loosen</w:t>
      </w:r>
      <w:r>
        <w:rPr>
          <w:rStyle w:val="IntenseEmphasis"/>
        </w:rPr>
        <w:t xml:space="preserve"> more strongly</w:t>
      </w:r>
      <w:r w:rsidRPr="005C30B7">
        <w:rPr>
          <w:rStyle w:val="IntenseEmphasis"/>
        </w:rPr>
        <w:t xml:space="preserve"> in 2026</w:t>
      </w:r>
      <w:r>
        <w:rPr>
          <w:rStyle w:val="IntenseEmphasis"/>
        </w:rPr>
        <w:t xml:space="preserve"> and to </w:t>
      </w:r>
      <w:r w:rsidRPr="005C30B7">
        <w:rPr>
          <w:rStyle w:val="IntenseEmphasis"/>
        </w:rPr>
        <w:t xml:space="preserve">tighten </w:t>
      </w:r>
      <w:r>
        <w:rPr>
          <w:rStyle w:val="IntenseEmphasis"/>
        </w:rPr>
        <w:t xml:space="preserve">somewhat over 2027-28 but the outlook is subject to uncertainty </w:t>
      </w:r>
      <w:r w:rsidRPr="005C30B7">
        <w:rPr>
          <w:rStyle w:val="IntenseEmphasis"/>
        </w:rPr>
        <w:t>(</w:t>
      </w:r>
      <w:r w:rsidR="00594919">
        <w:rPr>
          <w:rStyle w:val="IntenseEmphasis"/>
        </w:rPr>
        <w:t>Table A</w:t>
      </w:r>
      <w:r w:rsidRPr="005C30B7">
        <w:rPr>
          <w:rStyle w:val="IntenseEmphasis"/>
        </w:rPr>
        <w:t>).</w:t>
      </w:r>
      <w:r w:rsidRPr="005C30B7">
        <w:rPr>
          <w:rStyle w:val="FootnoteReference"/>
        </w:rPr>
        <w:footnoteReference w:id="13"/>
      </w:r>
      <w:r w:rsidRPr="005C30B7">
        <w:rPr>
          <w:rStyle w:val="IntenseEmphasis"/>
        </w:rPr>
        <w:t xml:space="preserve"> </w:t>
      </w:r>
      <w:r>
        <w:t>The loosening in 2026 is ma</w:t>
      </w:r>
      <w:r w:rsidRPr="005C30B7">
        <w:t>inly on account of higher public investment</w:t>
      </w:r>
      <w:r>
        <w:t xml:space="preserve"> and fiscal transfers</w:t>
      </w:r>
      <w:r w:rsidRPr="005C30B7">
        <w:t xml:space="preserve">. </w:t>
      </w:r>
      <w:r>
        <w:t xml:space="preserve">The increase in investment </w:t>
      </w:r>
      <w:r w:rsidRPr="005C30B7">
        <w:t xml:space="preserve">reflects </w:t>
      </w:r>
      <w:r>
        <w:t xml:space="preserve">primarily high </w:t>
      </w:r>
      <w:r w:rsidRPr="005C30B7">
        <w:t xml:space="preserve">defence and infrastructure spending </w:t>
      </w:r>
      <w:r>
        <w:t>in</w:t>
      </w:r>
      <w:r w:rsidRPr="005C30B7">
        <w:t xml:space="preserve"> Germany</w:t>
      </w:r>
      <w:r>
        <w:t>, alongside other smaller countries</w:t>
      </w:r>
      <w:r w:rsidRPr="005C30B7">
        <w:t xml:space="preserve">, </w:t>
      </w:r>
      <w:r>
        <w:t xml:space="preserve">and to some extent </w:t>
      </w:r>
      <w:r w:rsidRPr="005C30B7">
        <w:t>investment</w:t>
      </w:r>
      <w:r>
        <w:t xml:space="preserve"> funded by the </w:t>
      </w:r>
      <w:r w:rsidRPr="00863AF2">
        <w:t>Next Generation EU</w:t>
      </w:r>
      <w:r>
        <w:t xml:space="preserve"> (NGEU) programme.</w:t>
      </w:r>
      <w:r w:rsidRPr="005C30B7">
        <w:t xml:space="preserve"> In 2027</w:t>
      </w:r>
      <w:r>
        <w:t xml:space="preserve"> and 2028</w:t>
      </w:r>
      <w:r w:rsidRPr="005C30B7">
        <w:t xml:space="preserve"> the tightening in the fiscal stance </w:t>
      </w:r>
      <w:r>
        <w:t>is explained by expected consolidation in many countries, including Italy, France and Spain, and the expiration of most of the stimulus from NGEU grants, which is largely offset by stimulus mostly in Germany.</w:t>
      </w:r>
      <w:r w:rsidRPr="00320527">
        <w:t xml:space="preserve"> </w:t>
      </w:r>
      <w:r w:rsidDel="00320527">
        <w:t xml:space="preserve">The fiscal outlook is subject to </w:t>
      </w:r>
      <w:r w:rsidR="00240E29">
        <w:t>high</w:t>
      </w:r>
      <w:r w:rsidDel="00320527">
        <w:t xml:space="preserve"> uncertainty </w:t>
      </w:r>
      <w:r w:rsidR="00C95D16">
        <w:t>exacerbated</w:t>
      </w:r>
      <w:r w:rsidR="00C95D16" w:rsidDel="00320527">
        <w:t xml:space="preserve"> </w:t>
      </w:r>
      <w:r w:rsidDel="00320527">
        <w:t xml:space="preserve">by the war in the Middle East. The fiscal stance may turn more expansionary than assumed in the baseline if governments respond with energy support measures.  </w:t>
      </w:r>
    </w:p>
    <w:p w14:paraId="09315602" w14:textId="77777777" w:rsidR="00E24F39" w:rsidRDefault="00E24F39" w:rsidP="00A95507">
      <w:pPr>
        <w:pStyle w:val="Box-Text"/>
      </w:pPr>
      <w:r w:rsidRPr="004221E0">
        <w:rPr>
          <w:rStyle w:val="IntenseEmphasis"/>
        </w:rPr>
        <w:t xml:space="preserve">Compared with the </w:t>
      </w:r>
      <w:r>
        <w:rPr>
          <w:rStyle w:val="IntenseEmphasis"/>
        </w:rPr>
        <w:t>December</w:t>
      </w:r>
      <w:r w:rsidRPr="004221E0">
        <w:rPr>
          <w:rStyle w:val="IntenseEmphasis"/>
        </w:rPr>
        <w:t xml:space="preserve"> </w:t>
      </w:r>
      <w:r>
        <w:rPr>
          <w:rStyle w:val="IntenseEmphasis"/>
        </w:rPr>
        <w:t xml:space="preserve">2025 </w:t>
      </w:r>
      <w:r w:rsidRPr="004221E0">
        <w:rPr>
          <w:rStyle w:val="IntenseEmphasis"/>
        </w:rPr>
        <w:t xml:space="preserve">projections, </w:t>
      </w:r>
      <w:r>
        <w:rPr>
          <w:rStyle w:val="IntenseEmphasis"/>
        </w:rPr>
        <w:t xml:space="preserve">the </w:t>
      </w:r>
      <w:r w:rsidRPr="004221E0">
        <w:rPr>
          <w:rStyle w:val="IntenseEmphasis"/>
        </w:rPr>
        <w:t xml:space="preserve">fiscal stance </w:t>
      </w:r>
      <w:r>
        <w:rPr>
          <w:rStyle w:val="IntenseEmphasis"/>
        </w:rPr>
        <w:t>is expected to be somewhat looser (by about 0.2 percentage points of GDP) over 2025-28.</w:t>
      </w:r>
      <w:r w:rsidRPr="00803EF3">
        <w:rPr>
          <w:rStyle w:val="IntenseEmphasis"/>
          <w:b w:val="0"/>
          <w:bCs w:val="0"/>
          <w:iCs w:val="0"/>
        </w:rPr>
        <w:t xml:space="preserve"> </w:t>
      </w:r>
      <w:r>
        <w:t xml:space="preserve">The latest data indicate that the fiscal stance </w:t>
      </w:r>
      <w:r w:rsidRPr="00A95507">
        <w:t xml:space="preserve">in 2025 </w:t>
      </w:r>
      <w:r>
        <w:t xml:space="preserve">was looser </w:t>
      </w:r>
      <w:r w:rsidRPr="00A95507">
        <w:t xml:space="preserve">by about 0.1 percentage points of GDP </w:t>
      </w:r>
      <w:r>
        <w:t xml:space="preserve">compared with December. This was mainly on account of higher government investment, particularly in Germany where it was related to defence, as well as in Italy and France. The fiscal stance for 2026-28 is expected to be cumulatively </w:t>
      </w:r>
      <w:r w:rsidRPr="00A95507">
        <w:t xml:space="preserve">about 0.1 percentage points of GDP </w:t>
      </w:r>
      <w:r>
        <w:t xml:space="preserve">looser. This is mostly driven by less restrictive discretionary measures in France following the recent changes to the 2026 budget. The loosening in France is partly offset by tightening in other countries, mostly stemming from less dynamic expenditure growth. </w:t>
      </w:r>
    </w:p>
    <w:p w14:paraId="44BD300A" w14:textId="77777777" w:rsidR="00E24F39" w:rsidRPr="004D42D6" w:rsidRDefault="00E24F39" w:rsidP="006A4BBD">
      <w:pPr>
        <w:pStyle w:val="Box-Charttextwide-Heading"/>
      </w:pPr>
      <w:r w:rsidRPr="006A4BBD">
        <w:rPr>
          <w:rStyle w:val="IntenseEmphasis"/>
        </w:rPr>
        <w:lastRenderedPageBreak/>
        <w:t xml:space="preserve">Table </w:t>
      </w:r>
      <w:r>
        <w:rPr>
          <w:rStyle w:val="IntenseEmphasis"/>
        </w:rPr>
        <w:t>A</w:t>
      </w:r>
      <w:r>
        <w:br/>
      </w:r>
      <w:r w:rsidRPr="004D42D6">
        <w:t>Fiscal outlook for the euro area</w:t>
      </w:r>
    </w:p>
    <w:p w14:paraId="28E8DB02" w14:textId="77777777" w:rsidR="00E24F39" w:rsidRDefault="00E24F39" w:rsidP="006A4BBD">
      <w:pPr>
        <w:pStyle w:val="Box-Charttextwide-Measure"/>
      </w:pPr>
      <w:r w:rsidRPr="00BF6914">
        <w:t>(percentage of GDP; revisions in percentage points)</w:t>
      </w:r>
    </w:p>
    <w:tbl>
      <w:tblPr>
        <w:tblStyle w:val="Tablecentrealigned"/>
        <w:tblW w:w="0" w:type="auto"/>
        <w:tblLayout w:type="fixed"/>
        <w:tblLook w:val="06A0" w:firstRow="1" w:lastRow="0" w:firstColumn="1" w:lastColumn="0" w:noHBand="1" w:noVBand="1"/>
      </w:tblPr>
      <w:tblGrid>
        <w:gridCol w:w="2875"/>
        <w:gridCol w:w="606"/>
        <w:gridCol w:w="607"/>
        <w:gridCol w:w="607"/>
        <w:gridCol w:w="606"/>
        <w:gridCol w:w="653"/>
        <w:gridCol w:w="561"/>
        <w:gridCol w:w="606"/>
        <w:gridCol w:w="607"/>
        <w:gridCol w:w="607"/>
      </w:tblGrid>
      <w:tr w:rsidR="00E24F39" w:rsidRPr="00E61BAA" w14:paraId="021555D5" w14:textId="77777777" w:rsidTr="001071F6">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2875" w:type="dxa"/>
            <w:vMerge w:val="restart"/>
            <w:noWrap/>
            <w:hideMark/>
          </w:tcPr>
          <w:p w14:paraId="08269A5F" w14:textId="77777777" w:rsidR="00E24F39" w:rsidRPr="006A4BBD" w:rsidRDefault="00E24F39" w:rsidP="006A4BBD">
            <w:pPr>
              <w:pStyle w:val="Box-Tabletext"/>
              <w:framePr w:wrap="notBeside"/>
            </w:pPr>
            <w:r w:rsidRPr="0034195C">
              <w:t> </w:t>
            </w:r>
          </w:p>
        </w:tc>
        <w:tc>
          <w:tcPr>
            <w:tcW w:w="3079" w:type="dxa"/>
            <w:gridSpan w:val="5"/>
          </w:tcPr>
          <w:p w14:paraId="4BFCDC4B"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t>March 2026</w:t>
            </w:r>
          </w:p>
        </w:tc>
        <w:tc>
          <w:tcPr>
            <w:tcW w:w="2381" w:type="dxa"/>
            <w:gridSpan w:val="4"/>
          </w:tcPr>
          <w:p w14:paraId="3E9C0269"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t>Revisions vs December 2025</w:t>
            </w:r>
          </w:p>
        </w:tc>
      </w:tr>
      <w:tr w:rsidR="00E24F39" w:rsidRPr="00E61BAA" w14:paraId="057293C2" w14:textId="77777777" w:rsidTr="001071F6">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2875" w:type="dxa"/>
            <w:vMerge/>
            <w:noWrap/>
            <w:hideMark/>
          </w:tcPr>
          <w:p w14:paraId="078A7E23" w14:textId="77777777" w:rsidR="00E24F39" w:rsidRPr="0034195C" w:rsidRDefault="00E24F39" w:rsidP="006A4BBD">
            <w:pPr>
              <w:pStyle w:val="Box-Tabletext"/>
              <w:framePr w:wrap="notBeside"/>
            </w:pPr>
          </w:p>
        </w:tc>
        <w:tc>
          <w:tcPr>
            <w:tcW w:w="606" w:type="dxa"/>
            <w:noWrap/>
            <w:hideMark/>
          </w:tcPr>
          <w:p w14:paraId="6715A935"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2024</w:t>
            </w:r>
          </w:p>
        </w:tc>
        <w:tc>
          <w:tcPr>
            <w:tcW w:w="607" w:type="dxa"/>
            <w:noWrap/>
            <w:hideMark/>
          </w:tcPr>
          <w:p w14:paraId="45093255"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2025</w:t>
            </w:r>
          </w:p>
        </w:tc>
        <w:tc>
          <w:tcPr>
            <w:tcW w:w="607" w:type="dxa"/>
            <w:noWrap/>
            <w:hideMark/>
          </w:tcPr>
          <w:p w14:paraId="0CDCBA81"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2026</w:t>
            </w:r>
          </w:p>
        </w:tc>
        <w:tc>
          <w:tcPr>
            <w:tcW w:w="606" w:type="dxa"/>
          </w:tcPr>
          <w:p w14:paraId="0AEB8F41"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2027</w:t>
            </w:r>
          </w:p>
        </w:tc>
        <w:tc>
          <w:tcPr>
            <w:tcW w:w="653" w:type="dxa"/>
            <w:tcBorders>
              <w:right w:val="nil"/>
            </w:tcBorders>
          </w:tcPr>
          <w:p w14:paraId="09E3606C"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t>2028</w:t>
            </w:r>
          </w:p>
        </w:tc>
        <w:tc>
          <w:tcPr>
            <w:tcW w:w="561" w:type="dxa"/>
            <w:noWrap/>
            <w:hideMark/>
          </w:tcPr>
          <w:p w14:paraId="72F6BE5D"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2025</w:t>
            </w:r>
          </w:p>
        </w:tc>
        <w:tc>
          <w:tcPr>
            <w:tcW w:w="606" w:type="dxa"/>
            <w:noWrap/>
            <w:hideMark/>
          </w:tcPr>
          <w:p w14:paraId="7EF1D949"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2026</w:t>
            </w:r>
          </w:p>
        </w:tc>
        <w:tc>
          <w:tcPr>
            <w:tcW w:w="607" w:type="dxa"/>
            <w:noWrap/>
            <w:hideMark/>
          </w:tcPr>
          <w:p w14:paraId="1F29CE1E"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rsidRPr="0034195C">
              <w:t>2027</w:t>
            </w:r>
          </w:p>
        </w:tc>
        <w:tc>
          <w:tcPr>
            <w:tcW w:w="607" w:type="dxa"/>
          </w:tcPr>
          <w:p w14:paraId="21D50D79" w14:textId="77777777" w:rsidR="00E24F39" w:rsidRPr="006A4BBD" w:rsidRDefault="00E24F39" w:rsidP="006A4BBD">
            <w:pPr>
              <w:pStyle w:val="Box-Tabletext"/>
              <w:framePr w:wrap="notBeside"/>
              <w:cnfStyle w:val="100000000000" w:firstRow="1" w:lastRow="0" w:firstColumn="0" w:lastColumn="0" w:oddVBand="0" w:evenVBand="0" w:oddHBand="0" w:evenHBand="0" w:firstRowFirstColumn="0" w:firstRowLastColumn="0" w:lastRowFirstColumn="0" w:lastRowLastColumn="0"/>
            </w:pPr>
            <w:r>
              <w:t>2028</w:t>
            </w:r>
          </w:p>
        </w:tc>
      </w:tr>
      <w:tr w:rsidR="00E24F39" w:rsidRPr="00E61BAA" w14:paraId="63E5C722" w14:textId="77777777" w:rsidTr="001071F6">
        <w:trPr>
          <w:trHeight w:val="262"/>
        </w:trPr>
        <w:tc>
          <w:tcPr>
            <w:cnfStyle w:val="001000000000" w:firstRow="0" w:lastRow="0" w:firstColumn="1" w:lastColumn="0" w:oddVBand="0" w:evenVBand="0" w:oddHBand="0" w:evenHBand="0" w:firstRowFirstColumn="0" w:firstRowLastColumn="0" w:lastRowFirstColumn="0" w:lastRowLastColumn="0"/>
            <w:tcW w:w="2875" w:type="dxa"/>
          </w:tcPr>
          <w:p w14:paraId="179B20D1" w14:textId="77777777" w:rsidR="00E24F39" w:rsidRPr="006A4BBD" w:rsidRDefault="00E24F39" w:rsidP="006A4BBD">
            <w:pPr>
              <w:pStyle w:val="Box-Tabletext"/>
              <w:framePr w:wrap="notBeside"/>
              <w:rPr>
                <w:rStyle w:val="IntenseEmphasis"/>
              </w:rPr>
            </w:pPr>
            <w:r w:rsidRPr="00E63B4A">
              <w:t>Fiscal stance</w:t>
            </w:r>
            <w:r w:rsidRPr="006A4BBD">
              <w:rPr>
                <w:rStyle w:val="FootnoteReference"/>
              </w:rPr>
              <w:t>1)</w:t>
            </w:r>
          </w:p>
        </w:tc>
        <w:tc>
          <w:tcPr>
            <w:tcW w:w="606" w:type="dxa"/>
            <w:noWrap/>
          </w:tcPr>
          <w:p w14:paraId="3546B344"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rPr>
                <w:rStyle w:val="IntenseEmphasis"/>
              </w:rPr>
            </w:pPr>
            <w:r w:rsidRPr="006A4BBD">
              <w:rPr>
                <w:rStyle w:val="IntenseEmphasis"/>
              </w:rPr>
              <w:t>0.9</w:t>
            </w:r>
          </w:p>
        </w:tc>
        <w:tc>
          <w:tcPr>
            <w:tcW w:w="607" w:type="dxa"/>
            <w:noWrap/>
          </w:tcPr>
          <w:p w14:paraId="7457FA29"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rPr>
                <w:rStyle w:val="IntenseEmphasis"/>
              </w:rPr>
            </w:pPr>
            <w:r w:rsidRPr="006A4BBD">
              <w:rPr>
                <w:rStyle w:val="IntenseEmphasis"/>
              </w:rPr>
              <w:t>-0.1</w:t>
            </w:r>
          </w:p>
        </w:tc>
        <w:tc>
          <w:tcPr>
            <w:tcW w:w="607" w:type="dxa"/>
            <w:noWrap/>
          </w:tcPr>
          <w:p w14:paraId="6E24FB84"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rPr>
                <w:rStyle w:val="IntenseEmphasis"/>
              </w:rPr>
            </w:pPr>
            <w:r w:rsidRPr="006A4BBD">
              <w:rPr>
                <w:rStyle w:val="IntenseEmphasis"/>
              </w:rPr>
              <w:t>-0.3</w:t>
            </w:r>
          </w:p>
        </w:tc>
        <w:tc>
          <w:tcPr>
            <w:tcW w:w="606" w:type="dxa"/>
            <w:tcBorders>
              <w:top w:val="single" w:sz="4" w:space="0" w:color="003299"/>
            </w:tcBorders>
          </w:tcPr>
          <w:p w14:paraId="1BD1E447"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rPr>
                <w:rStyle w:val="IntenseEmphasis"/>
              </w:rPr>
            </w:pPr>
            <w:r w:rsidRPr="006A4BBD">
              <w:rPr>
                <w:rStyle w:val="IntenseEmphasis"/>
              </w:rPr>
              <w:t>0.2</w:t>
            </w:r>
          </w:p>
        </w:tc>
        <w:tc>
          <w:tcPr>
            <w:tcW w:w="653" w:type="dxa"/>
            <w:tcBorders>
              <w:top w:val="single" w:sz="4" w:space="0" w:color="003299"/>
              <w:right w:val="single" w:sz="4" w:space="0" w:color="003299"/>
            </w:tcBorders>
          </w:tcPr>
          <w:p w14:paraId="5E2F2BDE"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rPr>
                <w:rStyle w:val="IntenseEmphasis"/>
              </w:rPr>
            </w:pPr>
            <w:r w:rsidRPr="006A4BBD">
              <w:rPr>
                <w:rStyle w:val="IntenseEmphasis"/>
              </w:rPr>
              <w:t>0.2</w:t>
            </w:r>
          </w:p>
        </w:tc>
        <w:tc>
          <w:tcPr>
            <w:tcW w:w="561" w:type="dxa"/>
            <w:tcBorders>
              <w:left w:val="single" w:sz="4" w:space="0" w:color="003299"/>
            </w:tcBorders>
            <w:noWrap/>
          </w:tcPr>
          <w:p w14:paraId="52B2C6B4"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rPr>
                <w:rStyle w:val="IntenseEmphasis"/>
              </w:rPr>
            </w:pPr>
            <w:r w:rsidRPr="006A4BBD">
              <w:rPr>
                <w:rStyle w:val="IntenseEmphasis"/>
              </w:rPr>
              <w:t>-0.1</w:t>
            </w:r>
          </w:p>
        </w:tc>
        <w:tc>
          <w:tcPr>
            <w:tcW w:w="606" w:type="dxa"/>
            <w:noWrap/>
          </w:tcPr>
          <w:p w14:paraId="2F7DC62D"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rPr>
                <w:rStyle w:val="IntenseEmphasis"/>
              </w:rPr>
            </w:pPr>
            <w:r w:rsidRPr="006A4BBD">
              <w:rPr>
                <w:rStyle w:val="IntenseEmphasis"/>
              </w:rPr>
              <w:t>0.0</w:t>
            </w:r>
          </w:p>
        </w:tc>
        <w:tc>
          <w:tcPr>
            <w:tcW w:w="607" w:type="dxa"/>
            <w:noWrap/>
          </w:tcPr>
          <w:p w14:paraId="07287D93"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rPr>
                <w:rStyle w:val="IntenseEmphasis"/>
              </w:rPr>
            </w:pPr>
            <w:r w:rsidRPr="006A4BBD">
              <w:rPr>
                <w:rStyle w:val="IntenseEmphasis"/>
              </w:rPr>
              <w:t>0.0</w:t>
            </w:r>
          </w:p>
        </w:tc>
        <w:tc>
          <w:tcPr>
            <w:tcW w:w="607" w:type="dxa"/>
          </w:tcPr>
          <w:p w14:paraId="37661FFC"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rPr>
                <w:rStyle w:val="IntenseEmphasis"/>
              </w:rPr>
            </w:pPr>
            <w:r w:rsidRPr="006A4BBD">
              <w:rPr>
                <w:rStyle w:val="IntenseEmphasis"/>
              </w:rPr>
              <w:t>0.0</w:t>
            </w:r>
          </w:p>
        </w:tc>
      </w:tr>
      <w:tr w:rsidR="00E24F39" w:rsidRPr="00E61BAA" w14:paraId="75451CAF" w14:textId="77777777" w:rsidTr="001071F6">
        <w:trPr>
          <w:trHeight w:val="262"/>
        </w:trPr>
        <w:tc>
          <w:tcPr>
            <w:cnfStyle w:val="001000000000" w:firstRow="0" w:lastRow="0" w:firstColumn="1" w:lastColumn="0" w:oddVBand="0" w:evenVBand="0" w:oddHBand="0" w:evenHBand="0" w:firstRowFirstColumn="0" w:firstRowLastColumn="0" w:lastRowFirstColumn="0" w:lastRowLastColumn="0"/>
            <w:tcW w:w="2875" w:type="dxa"/>
          </w:tcPr>
          <w:p w14:paraId="01155339" w14:textId="77777777" w:rsidR="00E24F39" w:rsidRPr="006A4BBD" w:rsidRDefault="00E24F39" w:rsidP="006A4BBD">
            <w:pPr>
              <w:pStyle w:val="Box-Tabletext"/>
              <w:framePr w:wrap="notBeside"/>
              <w:rPr>
                <w:rStyle w:val="IntenseEmphasis"/>
              </w:rPr>
            </w:pPr>
            <w:r>
              <w:t>General government b</w:t>
            </w:r>
            <w:r w:rsidRPr="006A4BBD">
              <w:t>udget balance</w:t>
            </w:r>
          </w:p>
        </w:tc>
        <w:tc>
          <w:tcPr>
            <w:tcW w:w="606" w:type="dxa"/>
            <w:noWrap/>
          </w:tcPr>
          <w:p w14:paraId="2A266C74"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-3.1</w:t>
            </w:r>
          </w:p>
        </w:tc>
        <w:tc>
          <w:tcPr>
            <w:tcW w:w="607" w:type="dxa"/>
            <w:noWrap/>
          </w:tcPr>
          <w:p w14:paraId="1F1B6134"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-3.1</w:t>
            </w:r>
          </w:p>
        </w:tc>
        <w:tc>
          <w:tcPr>
            <w:tcW w:w="607" w:type="dxa"/>
            <w:noWrap/>
          </w:tcPr>
          <w:p w14:paraId="786CDCAB"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-3.4</w:t>
            </w:r>
          </w:p>
        </w:tc>
        <w:tc>
          <w:tcPr>
            <w:tcW w:w="606" w:type="dxa"/>
          </w:tcPr>
          <w:p w14:paraId="035A8D57"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-3.6</w:t>
            </w:r>
          </w:p>
        </w:tc>
        <w:tc>
          <w:tcPr>
            <w:tcW w:w="653" w:type="dxa"/>
            <w:tcBorders>
              <w:left w:val="nil"/>
              <w:right w:val="single" w:sz="4" w:space="0" w:color="auto"/>
            </w:tcBorders>
          </w:tcPr>
          <w:p w14:paraId="43ECEC31"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-3.6</w:t>
            </w:r>
          </w:p>
        </w:tc>
        <w:tc>
          <w:tcPr>
            <w:tcW w:w="561" w:type="dxa"/>
            <w:tcBorders>
              <w:left w:val="single" w:sz="4" w:space="0" w:color="auto"/>
            </w:tcBorders>
            <w:noWrap/>
          </w:tcPr>
          <w:p w14:paraId="732DE65E"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-0.1</w:t>
            </w:r>
          </w:p>
        </w:tc>
        <w:tc>
          <w:tcPr>
            <w:tcW w:w="606" w:type="dxa"/>
            <w:noWrap/>
          </w:tcPr>
          <w:p w14:paraId="42EBAACB"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-0.1</w:t>
            </w:r>
          </w:p>
        </w:tc>
        <w:tc>
          <w:tcPr>
            <w:tcW w:w="607" w:type="dxa"/>
            <w:noWrap/>
          </w:tcPr>
          <w:p w14:paraId="66041751"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-0.2</w:t>
            </w:r>
          </w:p>
        </w:tc>
        <w:tc>
          <w:tcPr>
            <w:tcW w:w="607" w:type="dxa"/>
          </w:tcPr>
          <w:p w14:paraId="45FF7C01"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-0.2</w:t>
            </w:r>
          </w:p>
        </w:tc>
      </w:tr>
      <w:tr w:rsidR="00E24F39" w:rsidRPr="00E61BAA" w14:paraId="243F936B" w14:textId="77777777" w:rsidTr="001071F6">
        <w:trPr>
          <w:trHeight w:val="262"/>
        </w:trPr>
        <w:tc>
          <w:tcPr>
            <w:cnfStyle w:val="001000000000" w:firstRow="0" w:lastRow="0" w:firstColumn="1" w:lastColumn="0" w:oddVBand="0" w:evenVBand="0" w:oddHBand="0" w:evenHBand="0" w:firstRowFirstColumn="0" w:firstRowLastColumn="0" w:lastRowFirstColumn="0" w:lastRowLastColumn="0"/>
            <w:tcW w:w="2875" w:type="dxa"/>
          </w:tcPr>
          <w:p w14:paraId="776A5C1C" w14:textId="77777777" w:rsidR="00E24F39" w:rsidRPr="006A4BBD" w:rsidRDefault="00E24F39" w:rsidP="006A4BBD">
            <w:pPr>
              <w:pStyle w:val="Box-Tabletext"/>
              <w:framePr w:wrap="notBeside"/>
              <w:rPr>
                <w:rStyle w:val="IntenseEmphasis"/>
              </w:rPr>
            </w:pPr>
            <w:r w:rsidRPr="006A4BBD">
              <w:rPr>
                <w:rStyle w:val="IntenseEmphasis"/>
              </w:rPr>
              <w:t>Structural budget balance</w:t>
            </w:r>
            <w:r w:rsidRPr="006A4BBD">
              <w:rPr>
                <w:rStyle w:val="FootnoteReference"/>
              </w:rPr>
              <w:t>2)</w:t>
            </w:r>
          </w:p>
        </w:tc>
        <w:tc>
          <w:tcPr>
            <w:tcW w:w="606" w:type="dxa"/>
            <w:noWrap/>
          </w:tcPr>
          <w:p w14:paraId="465C85CC"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t>-3.0</w:t>
            </w:r>
          </w:p>
        </w:tc>
        <w:tc>
          <w:tcPr>
            <w:tcW w:w="607" w:type="dxa"/>
            <w:noWrap/>
          </w:tcPr>
          <w:p w14:paraId="6685C50A"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t>-3.1</w:t>
            </w:r>
          </w:p>
        </w:tc>
        <w:tc>
          <w:tcPr>
            <w:tcW w:w="607" w:type="dxa"/>
            <w:noWrap/>
          </w:tcPr>
          <w:p w14:paraId="34E4F9FC"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t>-3.4</w:t>
            </w:r>
          </w:p>
        </w:tc>
        <w:tc>
          <w:tcPr>
            <w:tcW w:w="606" w:type="dxa"/>
          </w:tcPr>
          <w:p w14:paraId="4F56FADC"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t>-3.7</w:t>
            </w:r>
          </w:p>
        </w:tc>
        <w:tc>
          <w:tcPr>
            <w:tcW w:w="653" w:type="dxa"/>
            <w:tcBorders>
              <w:left w:val="nil"/>
              <w:right w:val="single" w:sz="4" w:space="0" w:color="003299"/>
            </w:tcBorders>
          </w:tcPr>
          <w:p w14:paraId="56E29A3E"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t>-3.7</w:t>
            </w:r>
          </w:p>
        </w:tc>
        <w:tc>
          <w:tcPr>
            <w:tcW w:w="561" w:type="dxa"/>
            <w:noWrap/>
          </w:tcPr>
          <w:p w14:paraId="4E4431EF"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t>-0.1</w:t>
            </w:r>
          </w:p>
        </w:tc>
        <w:tc>
          <w:tcPr>
            <w:tcW w:w="606" w:type="dxa"/>
            <w:noWrap/>
          </w:tcPr>
          <w:p w14:paraId="293C8FDE"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t>-0.1</w:t>
            </w:r>
          </w:p>
        </w:tc>
        <w:tc>
          <w:tcPr>
            <w:tcW w:w="607" w:type="dxa"/>
            <w:noWrap/>
          </w:tcPr>
          <w:p w14:paraId="1367FCA9"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t>-0.2</w:t>
            </w:r>
          </w:p>
        </w:tc>
        <w:tc>
          <w:tcPr>
            <w:tcW w:w="607" w:type="dxa"/>
          </w:tcPr>
          <w:p w14:paraId="17549E0A"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t>-0.2</w:t>
            </w:r>
          </w:p>
        </w:tc>
      </w:tr>
      <w:tr w:rsidR="00E24F39" w:rsidRPr="00E61BAA" w14:paraId="0728244A" w14:textId="77777777" w:rsidTr="001071F6">
        <w:trPr>
          <w:trHeight w:val="262"/>
        </w:trPr>
        <w:tc>
          <w:tcPr>
            <w:cnfStyle w:val="001000000000" w:firstRow="0" w:lastRow="0" w:firstColumn="1" w:lastColumn="0" w:oddVBand="0" w:evenVBand="0" w:oddHBand="0" w:evenHBand="0" w:firstRowFirstColumn="0" w:firstRowLastColumn="0" w:lastRowFirstColumn="0" w:lastRowLastColumn="0"/>
            <w:tcW w:w="2875" w:type="dxa"/>
          </w:tcPr>
          <w:p w14:paraId="360722AC" w14:textId="77777777" w:rsidR="00E24F39" w:rsidRPr="006A4BBD" w:rsidRDefault="00E24F39" w:rsidP="006A4BBD">
            <w:pPr>
              <w:pStyle w:val="Box-Tabletext"/>
              <w:framePr w:wrap="notBeside"/>
              <w:rPr>
                <w:rStyle w:val="IntenseEmphasis"/>
              </w:rPr>
            </w:pPr>
            <w:r w:rsidRPr="00E63B4A">
              <w:t>G</w:t>
            </w:r>
            <w:r w:rsidRPr="006A4BBD">
              <w:t>eneral government gross debt</w:t>
            </w:r>
          </w:p>
        </w:tc>
        <w:tc>
          <w:tcPr>
            <w:tcW w:w="606" w:type="dxa"/>
            <w:noWrap/>
          </w:tcPr>
          <w:p w14:paraId="4ACA002B"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86.6</w:t>
            </w:r>
          </w:p>
        </w:tc>
        <w:tc>
          <w:tcPr>
            <w:tcW w:w="607" w:type="dxa"/>
            <w:noWrap/>
          </w:tcPr>
          <w:p w14:paraId="427549BD"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87.5</w:t>
            </w:r>
          </w:p>
        </w:tc>
        <w:tc>
          <w:tcPr>
            <w:tcW w:w="607" w:type="dxa"/>
            <w:noWrap/>
          </w:tcPr>
          <w:p w14:paraId="289AA284"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88.3</w:t>
            </w:r>
          </w:p>
        </w:tc>
        <w:tc>
          <w:tcPr>
            <w:tcW w:w="606" w:type="dxa"/>
          </w:tcPr>
          <w:p w14:paraId="4F596709"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89.0</w:t>
            </w:r>
          </w:p>
        </w:tc>
        <w:tc>
          <w:tcPr>
            <w:tcW w:w="653" w:type="dxa"/>
            <w:tcBorders>
              <w:left w:val="nil"/>
              <w:right w:val="single" w:sz="4" w:space="0" w:color="003299"/>
            </w:tcBorders>
          </w:tcPr>
          <w:p w14:paraId="33D2B03E"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89.5</w:t>
            </w:r>
          </w:p>
        </w:tc>
        <w:tc>
          <w:tcPr>
            <w:tcW w:w="561" w:type="dxa"/>
            <w:noWrap/>
          </w:tcPr>
          <w:p w14:paraId="34C00A8C"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0.2</w:t>
            </w:r>
          </w:p>
        </w:tc>
        <w:tc>
          <w:tcPr>
            <w:tcW w:w="606" w:type="dxa"/>
            <w:noWrap/>
          </w:tcPr>
          <w:p w14:paraId="46617666"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0.3</w:t>
            </w:r>
          </w:p>
        </w:tc>
        <w:tc>
          <w:tcPr>
            <w:tcW w:w="607" w:type="dxa"/>
            <w:noWrap/>
          </w:tcPr>
          <w:p w14:paraId="24080338"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0.4</w:t>
            </w:r>
          </w:p>
        </w:tc>
        <w:tc>
          <w:tcPr>
            <w:tcW w:w="607" w:type="dxa"/>
          </w:tcPr>
          <w:p w14:paraId="62703EDA" w14:textId="77777777" w:rsidR="00E24F39" w:rsidRPr="006A4BBD" w:rsidRDefault="00E24F39" w:rsidP="006A4BBD">
            <w:pPr>
              <w:pStyle w:val="Box-Tabletext"/>
              <w:framePr w:wrap="notBeside"/>
              <w:cnfStyle w:val="000000000000" w:firstRow="0" w:lastRow="0" w:firstColumn="0" w:lastColumn="0" w:oddVBand="0" w:evenVBand="0" w:oddHBand="0" w:evenHBand="0" w:firstRowFirstColumn="0" w:firstRowLastColumn="0" w:lastRowFirstColumn="0" w:lastRowLastColumn="0"/>
            </w:pPr>
            <w:r w:rsidRPr="006A4BBD">
              <w:rPr>
                <w:rStyle w:val="IntenseEmphasis"/>
              </w:rPr>
              <w:t>0.4</w:t>
            </w:r>
          </w:p>
        </w:tc>
      </w:tr>
    </w:tbl>
    <w:p w14:paraId="2A04DE5C" w14:textId="6FCFFEC0" w:rsidR="00E24F39" w:rsidRDefault="00E24F39" w:rsidP="006A4BBD">
      <w:pPr>
        <w:pStyle w:val="Box-Charttextwide-SourcesNotes"/>
      </w:pPr>
      <w:r w:rsidRPr="001838E8">
        <w:t>Note:</w:t>
      </w:r>
      <w:r>
        <w:t xml:space="preserve"> Revisions are based on unrounded figures.</w:t>
      </w:r>
      <w:r>
        <w:br/>
      </w:r>
      <w:r w:rsidRPr="001838E8">
        <w:t>1) The fiscal stance is measured as the change in the cyclically adjusted primary balance. The figures shown are also adjusted for paid and expected grants under the Next Generation EU (NGEU) programme, which do not have an impact on the economy on the revenue side. A negative (positive) figure implies a loosening (tightening) of the fiscal stance.</w:t>
      </w:r>
      <w:r>
        <w:br/>
      </w:r>
      <w:r w:rsidRPr="00C87CE3">
        <w:t>2) The structural budget balance is calculated as the government balance net of transitory effects of the economic cycle (or the cyclically adjusted primary balance, referenced above, plus interest payments) and net of measures classified under the European System of Central Banks definition as temporary.</w:t>
      </w:r>
    </w:p>
    <w:p w14:paraId="1E750F1C" w14:textId="196D0536" w:rsidR="00E24F39" w:rsidRDefault="00E24F39" w:rsidP="00B3695A">
      <w:pPr>
        <w:pStyle w:val="Box-Text"/>
      </w:pPr>
      <w:r>
        <w:rPr>
          <w:rStyle w:val="IntenseEmphasis"/>
        </w:rPr>
        <w:t>T</w:t>
      </w:r>
      <w:r w:rsidRPr="004221E0">
        <w:rPr>
          <w:rStyle w:val="IntenseEmphasis"/>
        </w:rPr>
        <w:t xml:space="preserve">he </w:t>
      </w:r>
      <w:r>
        <w:rPr>
          <w:rStyle w:val="IntenseEmphasis"/>
        </w:rPr>
        <w:t xml:space="preserve">euro area </w:t>
      </w:r>
      <w:r w:rsidRPr="004221E0">
        <w:rPr>
          <w:rStyle w:val="IntenseEmphasis"/>
        </w:rPr>
        <w:t xml:space="preserve">budget </w:t>
      </w:r>
      <w:r>
        <w:rPr>
          <w:rStyle w:val="IntenseEmphasis"/>
        </w:rPr>
        <w:t>deficit</w:t>
      </w:r>
      <w:r w:rsidRPr="004221E0">
        <w:rPr>
          <w:rStyle w:val="IntenseEmphasis"/>
        </w:rPr>
        <w:t xml:space="preserve"> and debt ratios </w:t>
      </w:r>
      <w:r>
        <w:rPr>
          <w:rStyle w:val="IntenseEmphasis"/>
        </w:rPr>
        <w:t>are projected to increase</w:t>
      </w:r>
      <w:r w:rsidRPr="006050DE">
        <w:rPr>
          <w:rStyle w:val="IntenseEmphasis"/>
        </w:rPr>
        <w:t xml:space="preserve"> </w:t>
      </w:r>
      <w:r>
        <w:rPr>
          <w:rStyle w:val="IntenseEmphasis"/>
        </w:rPr>
        <w:t>and have been revised up relative to the December projections</w:t>
      </w:r>
      <w:r w:rsidRPr="006050DE">
        <w:rPr>
          <w:rStyle w:val="IntenseEmphasis"/>
        </w:rPr>
        <w:t xml:space="preserve"> </w:t>
      </w:r>
      <w:r>
        <w:rPr>
          <w:rStyle w:val="IntenseEmphasis"/>
        </w:rPr>
        <w:t xml:space="preserve">(Table </w:t>
      </w:r>
      <w:r w:rsidR="00401170">
        <w:rPr>
          <w:rStyle w:val="IntenseEmphasis"/>
        </w:rPr>
        <w:t>A</w:t>
      </w:r>
      <w:r>
        <w:rPr>
          <w:rStyle w:val="IntenseEmphasis"/>
        </w:rPr>
        <w:t>)</w:t>
      </w:r>
      <w:r w:rsidRPr="004221E0">
        <w:rPr>
          <w:rStyle w:val="IntenseEmphasis"/>
        </w:rPr>
        <w:t>.</w:t>
      </w:r>
      <w:r w:rsidRPr="004221E0">
        <w:t xml:space="preserve"> After </w:t>
      </w:r>
      <w:r>
        <w:t xml:space="preserve">remaining broadly unchanged </w:t>
      </w:r>
      <w:r w:rsidRPr="004221E0">
        <w:t>in 2025</w:t>
      </w:r>
      <w:r>
        <w:t>, at 3.1% of GDP</w:t>
      </w:r>
      <w:r w:rsidRPr="004221E0">
        <w:t xml:space="preserve">, the euro area budget </w:t>
      </w:r>
      <w:r>
        <w:t xml:space="preserve">deficit </w:t>
      </w:r>
      <w:r w:rsidRPr="004221E0">
        <w:t xml:space="preserve">is </w:t>
      </w:r>
      <w:r>
        <w:t xml:space="preserve">projected to </w:t>
      </w:r>
      <w:r w:rsidRPr="004221E0">
        <w:t>increase</w:t>
      </w:r>
      <w:r>
        <w:t xml:space="preserve"> rather strongly</w:t>
      </w:r>
      <w:r w:rsidRPr="004221E0">
        <w:t xml:space="preserve"> </w:t>
      </w:r>
      <w:r>
        <w:t>to 3.6% of GDP in 2027 and to stabilise at this level in 2028.</w:t>
      </w:r>
      <w:r w:rsidRPr="004221E0">
        <w:t xml:space="preserve"> This increase </w:t>
      </w:r>
      <w:r>
        <w:t>mainly reflects a rising</w:t>
      </w:r>
      <w:r w:rsidRPr="004221E0">
        <w:t xml:space="preserve"> </w:t>
      </w:r>
      <w:r>
        <w:t xml:space="preserve">ratio of </w:t>
      </w:r>
      <w:r w:rsidRPr="004221E0">
        <w:t>interest payments</w:t>
      </w:r>
      <w:r>
        <w:t xml:space="preserve"> to GDP (by about 0.4 percentage points), followed by a deterioration in the cyclically adjusted primary balance, which is only slightly offset by an improvement in the cyclical component at the end of the horizon. </w:t>
      </w:r>
      <w:r w:rsidRPr="004221E0">
        <w:t xml:space="preserve">The euro area debt-to-GDP ratio is on an increasing path as the continuous primary deficits and positive deficit-debt adjustments </w:t>
      </w:r>
      <w:r>
        <w:t xml:space="preserve">outweigh </w:t>
      </w:r>
      <w:r w:rsidRPr="004221E0">
        <w:t>the favourable</w:t>
      </w:r>
      <w:r>
        <w:t xml:space="preserve">, though diminishing, effects of </w:t>
      </w:r>
      <w:r w:rsidRPr="004221E0">
        <w:t>interest rate-growth differentials.</w:t>
      </w:r>
      <w:r>
        <w:t xml:space="preserve"> </w:t>
      </w:r>
      <w:r w:rsidRPr="004221E0">
        <w:t xml:space="preserve">Compared with the </w:t>
      </w:r>
      <w:r>
        <w:t>December</w:t>
      </w:r>
      <w:r w:rsidRPr="004221E0">
        <w:t xml:space="preserve"> projections, the budget </w:t>
      </w:r>
      <w:r>
        <w:t xml:space="preserve">deficit and government debt have been revised up over the entire projection horizon on account of the worsening of the cyclically adjusted primary balance. </w:t>
      </w:r>
    </w:p>
    <w:p w14:paraId="6CAA04EC" w14:textId="77777777" w:rsidR="00637789" w:rsidRDefault="00637789" w:rsidP="00637789">
      <w:pPr>
        <w:pStyle w:val="Box-Charttextwide-SourcesNotes"/>
      </w:pPr>
    </w:p>
    <w:p w14:paraId="6B1078E9" w14:textId="77777777" w:rsidR="00154887" w:rsidRPr="00786F2D" w:rsidRDefault="00154887" w:rsidP="00154887">
      <w:pPr>
        <w:pStyle w:val="Heading1"/>
      </w:pPr>
      <w:bookmarkStart w:id="7" w:name="_Toc224823014"/>
      <w:r w:rsidRPr="007A2D95">
        <w:lastRenderedPageBreak/>
        <w:t>Alternative</w:t>
      </w:r>
      <w:r>
        <w:t xml:space="preserve"> scenarios for the e</w:t>
      </w:r>
      <w:r w:rsidRPr="00EB2353">
        <w:t xml:space="preserve">conomic </w:t>
      </w:r>
      <w:r>
        <w:t>i</w:t>
      </w:r>
      <w:r w:rsidRPr="00EB2353">
        <w:t xml:space="preserve">mplications of the </w:t>
      </w:r>
      <w:r>
        <w:t>war in the Middle East</w:t>
      </w:r>
      <w:bookmarkEnd w:id="7"/>
      <w:r>
        <w:t xml:space="preserve"> </w:t>
      </w:r>
    </w:p>
    <w:p w14:paraId="71FB6A0A" w14:textId="77777777" w:rsidR="00154887" w:rsidRPr="00821B34" w:rsidRDefault="00154887" w:rsidP="00154887">
      <w:pPr>
        <w:pStyle w:val="Heading2"/>
      </w:pPr>
      <w:bookmarkStart w:id="8" w:name="_Toc224823015"/>
      <w:r w:rsidRPr="00821B34">
        <w:t>Overview of the alternative scenario narratives</w:t>
      </w:r>
      <w:bookmarkEnd w:id="8"/>
    </w:p>
    <w:p w14:paraId="551FED74" w14:textId="1FFB86D4" w:rsidR="00154887" w:rsidRPr="000D6BC9" w:rsidRDefault="00401170" w:rsidP="00DF30F4">
      <w:r w:rsidRPr="00401170">
        <w:rPr>
          <w:rStyle w:val="IntenseEmphasis"/>
        </w:rPr>
        <w:t>Given the high uncertainty surrounding the range of possible outcomes from the current war in the Middle East and its impact on energy prices and uncertainty, and the propagation to the economy, this section presents illustrative alternative scenarios which complement the baseline assessment.</w:t>
      </w:r>
      <w:r w:rsidR="00154887">
        <w:rPr>
          <w:rStyle w:val="FootnoteReference"/>
        </w:rPr>
        <w:footnoteReference w:id="14"/>
      </w:r>
      <w:r w:rsidR="00154887">
        <w:t xml:space="preserve"> These scenarios incorporate important lessons from </w:t>
      </w:r>
      <w:r w:rsidR="00154887" w:rsidRPr="00EA4B46">
        <w:t xml:space="preserve">the </w:t>
      </w:r>
      <w:r w:rsidR="00154887">
        <w:t xml:space="preserve">ECB’s </w:t>
      </w:r>
      <w:r w:rsidR="00154887" w:rsidRPr="00EA4B46">
        <w:t xml:space="preserve">2025 </w:t>
      </w:r>
      <w:r w:rsidR="00154887">
        <w:t xml:space="preserve">assessment of the monetary policy strategy – namely that </w:t>
      </w:r>
      <w:r w:rsidR="00154887" w:rsidRPr="00EA4B46">
        <w:t xml:space="preserve">non-linearities </w:t>
      </w:r>
      <w:r w:rsidR="00154887">
        <w:t xml:space="preserve">and second-round effects on inflation can </w:t>
      </w:r>
      <w:r w:rsidR="00154887" w:rsidRPr="00EA4B46">
        <w:t>matter</w:t>
      </w:r>
      <w:r w:rsidR="00154887">
        <w:t xml:space="preserve"> in the context of large shocks, and that </w:t>
      </w:r>
      <w:r w:rsidR="00154887" w:rsidRPr="00EA4B46">
        <w:t>scenarios are a key device for communicati</w:t>
      </w:r>
      <w:r w:rsidR="00154887">
        <w:t>on</w:t>
      </w:r>
      <w:r w:rsidR="00154887" w:rsidRPr="00EA4B46">
        <w:t xml:space="preserve"> in an environment of heightened uncertainty and volatility</w:t>
      </w:r>
      <w:r w:rsidR="00154887">
        <w:t xml:space="preserve">. </w:t>
      </w:r>
      <w:r w:rsidR="00625CD0" w:rsidRPr="00625CD0">
        <w:t>These scenarios offer illustrative examples of hypothetical alternative paths for energy commodity prices and their propagation to the euro area economy.</w:t>
      </w:r>
      <w:r w:rsidR="00625CD0">
        <w:t xml:space="preserve"> </w:t>
      </w:r>
      <w:r w:rsidR="00625CD0" w:rsidRPr="00625CD0">
        <w:t>The staff do not assign any probabilities to these scenarios – they serve rather to illustrate the key uncertainties regarding the impact of the conflict.</w:t>
      </w:r>
      <w:r w:rsidR="00625CD0">
        <w:t xml:space="preserve"> </w:t>
      </w:r>
      <w:r w:rsidR="00154887">
        <w:t xml:space="preserve">While the baseline incorporates the energy commodity price paths embedded in the technical assumptions (see </w:t>
      </w:r>
      <w:r w:rsidR="00154887" w:rsidRPr="00821B34">
        <w:rPr>
          <w:rStyle w:val="IntenseEmphasis"/>
        </w:rPr>
        <w:t>Box 2</w:t>
      </w:r>
      <w:r w:rsidR="00154887">
        <w:t>) and observed financial market uncertainty, t</w:t>
      </w:r>
      <w:r w:rsidR="00154887" w:rsidRPr="000D6BC9">
        <w:t>he scenario</w:t>
      </w:r>
      <w:r w:rsidR="00154887">
        <w:t>s</w:t>
      </w:r>
      <w:r w:rsidR="00154887" w:rsidRPr="000D6BC9">
        <w:t xml:space="preserve"> consider </w:t>
      </w:r>
      <w:r w:rsidR="00154887">
        <w:t>two</w:t>
      </w:r>
      <w:r w:rsidR="00154887" w:rsidRPr="000D6BC9">
        <w:t xml:space="preserve"> possible</w:t>
      </w:r>
      <w:r w:rsidR="00154887">
        <w:t xml:space="preserve"> alternatives path</w:t>
      </w:r>
      <w:r w:rsidR="00154887" w:rsidRPr="000D6BC9">
        <w:t xml:space="preserve"> </w:t>
      </w:r>
      <w:r w:rsidR="00154887">
        <w:t>for the energy price, uncertainty and their transmission to the economy. These</w:t>
      </w:r>
      <w:r w:rsidR="00154887" w:rsidRPr="000D6BC9">
        <w:t xml:space="preserve"> differ </w:t>
      </w:r>
      <w:r w:rsidR="00154887">
        <w:t xml:space="preserve">in </w:t>
      </w:r>
      <w:r w:rsidR="00154887" w:rsidRPr="000D6BC9">
        <w:t xml:space="preserve">three main </w:t>
      </w:r>
      <w:r w:rsidR="00154887">
        <w:t>respects</w:t>
      </w:r>
      <w:r w:rsidR="00154887" w:rsidRPr="000D6BC9">
        <w:t xml:space="preserve">: the </w:t>
      </w:r>
      <w:r w:rsidR="00154887">
        <w:t>intensity of the initial energy supply shock, the</w:t>
      </w:r>
      <w:r w:rsidR="00154887" w:rsidRPr="000D6BC9">
        <w:t xml:space="preserve"> persistence of </w:t>
      </w:r>
      <w:r w:rsidR="00154887">
        <w:t>the</w:t>
      </w:r>
      <w:r w:rsidR="00154887" w:rsidRPr="000D6BC9">
        <w:t xml:space="preserve"> disruptions, and </w:t>
      </w:r>
      <w:r w:rsidR="00154887">
        <w:t>the level of</w:t>
      </w:r>
      <w:r w:rsidR="00154887" w:rsidRPr="000D6BC9">
        <w:t xml:space="preserve"> uncertainty</w:t>
      </w:r>
      <w:r w:rsidR="00154887">
        <w:t xml:space="preserve"> (</w:t>
      </w:r>
      <w:r w:rsidR="002C51C9">
        <w:rPr>
          <w:rStyle w:val="IntenseEmphasis"/>
        </w:rPr>
        <w:fldChar w:fldCharType="begin"/>
      </w:r>
      <w:r w:rsidR="002C51C9">
        <w:rPr>
          <w:rStyle w:val="IntenseEmphasis"/>
        </w:rPr>
        <w:instrText xml:space="preserve"> REF _Ref224312088 \h </w:instrText>
      </w:r>
      <w:r w:rsidR="002C51C9">
        <w:rPr>
          <w:rStyle w:val="IntenseEmphasis"/>
        </w:rPr>
      </w:r>
      <w:r w:rsidR="002C51C9">
        <w:rPr>
          <w:rStyle w:val="IntenseEmphasis"/>
        </w:rPr>
        <w:fldChar w:fldCharType="separate"/>
      </w:r>
      <w:r w:rsidR="004D705B" w:rsidRPr="00C565B1">
        <w:rPr>
          <w:rStyle w:val="IntenseEmphasis"/>
        </w:rPr>
        <w:t xml:space="preserve">Table </w:t>
      </w:r>
      <w:r w:rsidR="004D705B">
        <w:rPr>
          <w:rStyle w:val="IntenseEmphasis"/>
          <w:noProof/>
        </w:rPr>
        <w:t>4</w:t>
      </w:r>
      <w:r w:rsidR="002C51C9">
        <w:rPr>
          <w:rStyle w:val="IntenseEmphasis"/>
        </w:rPr>
        <w:fldChar w:fldCharType="end"/>
      </w:r>
      <w:r w:rsidR="00154887">
        <w:t>)</w:t>
      </w:r>
      <w:r w:rsidR="00154887" w:rsidRPr="000D6BC9">
        <w:t>.</w:t>
      </w:r>
      <w:r w:rsidR="00154887">
        <w:t xml:space="preserve"> </w:t>
      </w:r>
    </w:p>
    <w:p w14:paraId="44E563AA" w14:textId="4553151F" w:rsidR="00154887" w:rsidRDefault="00154887" w:rsidP="00260DAB">
      <w:pPr>
        <w:pStyle w:val="ListBullet"/>
      </w:pPr>
      <w:r w:rsidRPr="00821B34">
        <w:rPr>
          <w:rStyle w:val="IntenseEmphasis"/>
        </w:rPr>
        <w:t>Adverse scenario</w:t>
      </w:r>
      <w:r w:rsidRPr="00C91F26">
        <w:rPr>
          <w:rStyle w:val="IntenseEmphasis"/>
        </w:rPr>
        <w:t>:</w:t>
      </w:r>
      <w:r>
        <w:t xml:space="preserve"> this</w:t>
      </w:r>
      <w:r w:rsidRPr="000D6BC9">
        <w:t xml:space="preserve"> assumes that</w:t>
      </w:r>
      <w:r w:rsidR="00401170">
        <w:t xml:space="preserve"> </w:t>
      </w:r>
      <w:r w:rsidR="004F24C1">
        <w:t xml:space="preserve">in the second quarter of 2026 </w:t>
      </w:r>
      <w:r>
        <w:t>4</w:t>
      </w:r>
      <w:r w:rsidRPr="00D11234">
        <w:t>0% of oil and LNG flows transiting through the Strait of Hormuz are disrupted, primarily because of a blockade of the Strait</w:t>
      </w:r>
      <w:r>
        <w:t>,</w:t>
      </w:r>
      <w:r w:rsidRPr="00D11234">
        <w:t xml:space="preserve"> without major damage to energy infrastructure</w:t>
      </w:r>
      <w:r>
        <w:t xml:space="preserve"> (beyond what has already occurred)</w:t>
      </w:r>
      <w:r w:rsidRPr="00D11234">
        <w:t xml:space="preserve">. This leads to a significant increase in commodity prices and </w:t>
      </w:r>
      <w:r>
        <w:t xml:space="preserve">a </w:t>
      </w:r>
      <w:r w:rsidRPr="00D11234">
        <w:t xml:space="preserve">temporary </w:t>
      </w:r>
      <w:r>
        <w:t>rise in</w:t>
      </w:r>
      <w:r w:rsidRPr="00D11234">
        <w:t xml:space="preserve"> financial market uncertainty. </w:t>
      </w:r>
      <w:r>
        <w:t xml:space="preserve">The </w:t>
      </w:r>
      <w:r w:rsidRPr="00D11234">
        <w:t xml:space="preserve">disruptions </w:t>
      </w:r>
      <w:r w:rsidRPr="00DC7E29">
        <w:t xml:space="preserve">are assumed to </w:t>
      </w:r>
      <w:r w:rsidRPr="00D11234">
        <w:t xml:space="preserve">persist until the third quarter of 2026, after which </w:t>
      </w:r>
      <w:r>
        <w:t xml:space="preserve">supply </w:t>
      </w:r>
      <w:r w:rsidRPr="00D11234">
        <w:t xml:space="preserve">volumes normalise. As the </w:t>
      </w:r>
      <w:r w:rsidRPr="00DC7E29">
        <w:t>disruption is assumed to reflect</w:t>
      </w:r>
      <w:r w:rsidRPr="00D11234">
        <w:t xml:space="preserve"> a blockade rather than destruction</w:t>
      </w:r>
      <w:r>
        <w:t xml:space="preserve"> of infrastructure</w:t>
      </w:r>
      <w:r w:rsidRPr="00D11234">
        <w:t xml:space="preserve">, supply </w:t>
      </w:r>
      <w:r w:rsidRPr="00DC7E29">
        <w:t>recovers</w:t>
      </w:r>
      <w:r w:rsidRPr="00D11234">
        <w:t xml:space="preserve"> relatively quickly once the </w:t>
      </w:r>
      <w:r w:rsidRPr="00DC7E29">
        <w:t>restrictions are</w:t>
      </w:r>
      <w:r w:rsidRPr="00D11234">
        <w:t xml:space="preserve"> lifted</w:t>
      </w:r>
      <w:r>
        <w:t>.</w:t>
      </w:r>
    </w:p>
    <w:p w14:paraId="2F2D5982" w14:textId="1F5E1683" w:rsidR="00154887" w:rsidRDefault="00154887" w:rsidP="00260DAB">
      <w:pPr>
        <w:pStyle w:val="ListBullet"/>
      </w:pPr>
      <w:r w:rsidRPr="00821B34">
        <w:rPr>
          <w:rStyle w:val="IntenseEmphasis"/>
        </w:rPr>
        <w:t>Severe scenario</w:t>
      </w:r>
      <w:r w:rsidRPr="00C91F26">
        <w:rPr>
          <w:rStyle w:val="IntenseEmphasis"/>
        </w:rPr>
        <w:t>:</w:t>
      </w:r>
      <w:r w:rsidRPr="002A108B">
        <w:t xml:space="preserve"> </w:t>
      </w:r>
      <w:r w:rsidRPr="00821B34">
        <w:t xml:space="preserve">this </w:t>
      </w:r>
      <w:r w:rsidRPr="002A108B">
        <w:t xml:space="preserve">assumes a more intense and prolonged disruption than in the adverse scenario. The shock to </w:t>
      </w:r>
      <w:r>
        <w:t xml:space="preserve">the </w:t>
      </w:r>
      <w:r w:rsidRPr="002A108B">
        <w:t xml:space="preserve">energy supply is larger, with 60% of oil and LNG flows </w:t>
      </w:r>
      <w:r w:rsidR="00401170">
        <w:t>(</w:t>
      </w:r>
      <w:r w:rsidR="004F24C1">
        <w:t>in the second quarter</w:t>
      </w:r>
      <w:r w:rsidR="00401170">
        <w:t xml:space="preserve">) </w:t>
      </w:r>
      <w:r w:rsidRPr="002A108B">
        <w:t>transiting through the Strait of Hormuz assumed to be disrupted. In addition, part of the disruption is assumed to result from military</w:t>
      </w:r>
      <w:r>
        <w:t xml:space="preserve"> action that</w:t>
      </w:r>
      <w:r w:rsidRPr="002A108B">
        <w:t xml:space="preserve"> damage</w:t>
      </w:r>
      <w:r>
        <w:t>s</w:t>
      </w:r>
      <w:r w:rsidRPr="002A108B">
        <w:t xml:space="preserve"> energy infrastructure, delaying the </w:t>
      </w:r>
      <w:r>
        <w:t>restoration</w:t>
      </w:r>
      <w:r w:rsidRPr="002A108B">
        <w:t xml:space="preserve"> of supply. As a result, </w:t>
      </w:r>
      <w:r>
        <w:t>supply volumes</w:t>
      </w:r>
      <w:r w:rsidRPr="002A108B">
        <w:t xml:space="preserve"> only</w:t>
      </w:r>
      <w:r>
        <w:t xml:space="preserve"> begin to return to normal</w:t>
      </w:r>
      <w:r w:rsidRPr="002A108B">
        <w:t xml:space="preserve"> in the first </w:t>
      </w:r>
      <w:r w:rsidRPr="002A108B">
        <w:lastRenderedPageBreak/>
        <w:t xml:space="preserve">quarter of 2027 and </w:t>
      </w:r>
      <w:r>
        <w:t xml:space="preserve">this normalisation </w:t>
      </w:r>
      <w:r w:rsidRPr="002A108B">
        <w:t xml:space="preserve">proceeds more gradually than in the adverse scenario. </w:t>
      </w:r>
      <w:r>
        <w:t>U</w:t>
      </w:r>
      <w:r w:rsidRPr="002A108B">
        <w:t xml:space="preserve">ncertainty increases more </w:t>
      </w:r>
      <w:r>
        <w:t>sharply</w:t>
      </w:r>
      <w:r w:rsidRPr="002A108B">
        <w:t xml:space="preserve"> and is more persistent. </w:t>
      </w:r>
    </w:p>
    <w:p w14:paraId="79CFA784" w14:textId="68FE505D" w:rsidR="00154887" w:rsidRDefault="00401170" w:rsidP="001E7341">
      <w:r w:rsidRPr="00401170">
        <w:rPr>
          <w:rStyle w:val="IntenseEmphasis"/>
        </w:rPr>
        <w:t>Both scenarios incorporate non-linearities, implying stronger indirect and second-round effects on euro area inflation than in the baseline, while monetary and fiscal policies are assumed not to react</w:t>
      </w:r>
      <w:r w:rsidR="00154887" w:rsidRPr="00F32930">
        <w:rPr>
          <w:rStyle w:val="IntenseEmphasis"/>
        </w:rPr>
        <w:t>.</w:t>
      </w:r>
      <w:r w:rsidR="00154887" w:rsidRPr="00F32930">
        <w:t> In line with the 2025 assessment of the monetary policy strategy, allowing for non-linear adjustment is intended </w:t>
      </w:r>
      <w:r w:rsidR="00154887" w:rsidRPr="002A108B">
        <w:t xml:space="preserve">to capture the </w:t>
      </w:r>
      <w:r w:rsidR="00154887" w:rsidRPr="00F32930">
        <w:t xml:space="preserve">possibility that a larger </w:t>
      </w:r>
      <w:r w:rsidR="00154887" w:rsidRPr="002A108B">
        <w:t xml:space="preserve">energy price shock </w:t>
      </w:r>
      <w:r w:rsidR="00154887">
        <w:t xml:space="preserve">may propagate more </w:t>
      </w:r>
      <w:r w:rsidR="00154887" w:rsidRPr="00F32930">
        <w:t xml:space="preserve">strongly than a smaller shock </w:t>
      </w:r>
      <w:r w:rsidR="00154887" w:rsidRPr="002A108B">
        <w:t xml:space="preserve">across the broader economy. </w:t>
      </w:r>
      <w:r w:rsidR="00154887" w:rsidRPr="00F32930">
        <w:t>As is the standard convention for scenario analyses in the staff projections, the scenarios assume unchanged monetary and fiscal policy compared with the baseline.</w:t>
      </w:r>
      <w:r w:rsidR="00154887" w:rsidRPr="007379F6">
        <w:t> </w:t>
      </w:r>
    </w:p>
    <w:p w14:paraId="2E5A643F" w14:textId="3DB89862" w:rsidR="00154887" w:rsidRPr="00821B34" w:rsidRDefault="00154887" w:rsidP="00821B34">
      <w:pPr>
        <w:pStyle w:val="Chartright-Heading"/>
        <w:rPr>
          <w:rStyle w:val="IntenseEmphasis"/>
        </w:rPr>
      </w:pPr>
      <w:r w:rsidRPr="00C565B1">
        <w:rPr>
          <w:rStyle w:val="IntenseEmphasis"/>
        </w:rPr>
        <w:t xml:space="preserve">Table </w:t>
      </w:r>
      <w:r w:rsidRPr="00C565B1">
        <w:rPr>
          <w:rStyle w:val="IntenseEmphasis"/>
        </w:rPr>
        <w:fldChar w:fldCharType="begin"/>
      </w:r>
      <w:r w:rsidRPr="00C565B1">
        <w:rPr>
          <w:rStyle w:val="IntenseEmphasis"/>
        </w:rPr>
        <w:instrText xml:space="preserve"> SEQ Table \* ARABIC </w:instrText>
      </w:r>
      <w:r w:rsidRPr="00C565B1">
        <w:rPr>
          <w:rStyle w:val="IntenseEmphasis"/>
        </w:rPr>
        <w:fldChar w:fldCharType="separate"/>
      </w:r>
      <w:r w:rsidR="004D705B">
        <w:rPr>
          <w:rStyle w:val="IntenseEmphasis"/>
          <w:noProof/>
        </w:rPr>
        <w:t>4</w:t>
      </w:r>
      <w:r w:rsidRPr="00C565B1">
        <w:rPr>
          <w:rStyle w:val="IntenseEmphasis"/>
        </w:rPr>
        <w:fldChar w:fldCharType="end"/>
      </w:r>
    </w:p>
    <w:p w14:paraId="5CC490F0" w14:textId="77777777" w:rsidR="00154887" w:rsidRPr="005A6BE9" w:rsidRDefault="00154887" w:rsidP="00937A6E">
      <w:pPr>
        <w:pStyle w:val="Chartright-Heading"/>
      </w:pPr>
      <w:r>
        <w:t xml:space="preserve">Narrative of the baseline and alternative scenarios regarding the war in the Middle East </w:t>
      </w:r>
    </w:p>
    <w:tbl>
      <w:tblPr>
        <w:tblStyle w:val="Tablecentrealigned"/>
        <w:tblpPr w:leftFromText="180" w:rightFromText="180" w:vertAnchor="text" w:horzAnchor="margin" w:tblpY="64"/>
        <w:tblW w:w="5000" w:type="pct"/>
        <w:tblLayout w:type="fixed"/>
        <w:tblLook w:val="02A0" w:firstRow="1" w:lastRow="0" w:firstColumn="1" w:lastColumn="0" w:noHBand="1" w:noVBand="0"/>
      </w:tblPr>
      <w:tblGrid>
        <w:gridCol w:w="995"/>
        <w:gridCol w:w="1230"/>
        <w:gridCol w:w="1230"/>
        <w:gridCol w:w="1230"/>
        <w:gridCol w:w="1230"/>
        <w:gridCol w:w="1229"/>
      </w:tblGrid>
      <w:tr w:rsidR="00154887" w:rsidRPr="00F545D1" w:rsidDel="003A42E6" w14:paraId="5D69262E" w14:textId="77777777" w:rsidTr="00F32930">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96" w:type="pct"/>
            <w:hideMark/>
          </w:tcPr>
          <w:p w14:paraId="7BF92F09" w14:textId="77777777" w:rsidR="00154887" w:rsidRPr="00154887" w:rsidDel="003A42E6" w:rsidRDefault="00154887" w:rsidP="00154887">
            <w:pPr>
              <w:pStyle w:val="Tabletext"/>
            </w:pPr>
            <w:r>
              <w:t>Scenario</w:t>
            </w:r>
          </w:p>
        </w:tc>
        <w:tc>
          <w:tcPr>
            <w:cnfStyle w:val="000010000000" w:firstRow="0" w:lastRow="0" w:firstColumn="0" w:lastColumn="0" w:oddVBand="1" w:evenVBand="0" w:oddHBand="0" w:evenHBand="0" w:firstRowFirstColumn="0" w:firstRowLastColumn="0" w:lastRowFirstColumn="0" w:lastRowLastColumn="0"/>
            <w:tcW w:w="861" w:type="pct"/>
            <w:noWrap/>
            <w:hideMark/>
          </w:tcPr>
          <w:p w14:paraId="218E6308" w14:textId="77777777" w:rsidR="00154887" w:rsidRPr="00154887" w:rsidDel="003A42E6" w:rsidRDefault="00154887" w:rsidP="00154887">
            <w:pPr>
              <w:pStyle w:val="Tabletext"/>
            </w:pPr>
            <w:r w:rsidRPr="00083790" w:rsidDel="003A42E6">
              <w:t>Persistence of acute energy supply disruptions</w:t>
            </w:r>
          </w:p>
        </w:tc>
        <w:tc>
          <w:tcPr>
            <w:cnfStyle w:val="000001000000" w:firstRow="0" w:lastRow="0" w:firstColumn="0" w:lastColumn="0" w:oddVBand="0" w:evenVBand="1" w:oddHBand="0" w:evenHBand="0" w:firstRowFirstColumn="0" w:firstRowLastColumn="0" w:lastRowFirstColumn="0" w:lastRowLastColumn="0"/>
            <w:tcW w:w="861" w:type="pct"/>
            <w:noWrap/>
            <w:hideMark/>
          </w:tcPr>
          <w:p w14:paraId="6E79FFFF" w14:textId="77777777" w:rsidR="00154887" w:rsidRPr="00154887" w:rsidDel="003A42E6" w:rsidRDefault="00154887" w:rsidP="00154887">
            <w:pPr>
              <w:pStyle w:val="Tabletext"/>
            </w:pPr>
            <w:r w:rsidRPr="002468A3" w:rsidDel="003A42E6">
              <w:t>Commodity prices</w:t>
            </w:r>
          </w:p>
        </w:tc>
        <w:tc>
          <w:tcPr>
            <w:cnfStyle w:val="000010000000" w:firstRow="0" w:lastRow="0" w:firstColumn="0" w:lastColumn="0" w:oddVBand="1" w:evenVBand="0" w:oddHBand="0" w:evenHBand="0" w:firstRowFirstColumn="0" w:firstRowLastColumn="0" w:lastRowFirstColumn="0" w:lastRowLastColumn="0"/>
            <w:tcW w:w="861" w:type="pct"/>
            <w:noWrap/>
            <w:hideMark/>
          </w:tcPr>
          <w:p w14:paraId="595ECE86" w14:textId="77777777" w:rsidR="00154887" w:rsidRPr="00154887" w:rsidDel="003A42E6" w:rsidRDefault="00154887" w:rsidP="00154887">
            <w:pPr>
              <w:pStyle w:val="Tabletext"/>
            </w:pPr>
            <w:r w:rsidRPr="008D03A1" w:rsidDel="003A42E6">
              <w:t>Uncertainty</w:t>
            </w:r>
          </w:p>
        </w:tc>
        <w:tc>
          <w:tcPr>
            <w:cnfStyle w:val="000001000000" w:firstRow="0" w:lastRow="0" w:firstColumn="0" w:lastColumn="0" w:oddVBand="0" w:evenVBand="1" w:oddHBand="0" w:evenHBand="0" w:firstRowFirstColumn="0" w:firstRowLastColumn="0" w:lastRowFirstColumn="0" w:lastRowLastColumn="0"/>
            <w:tcW w:w="861" w:type="pct"/>
            <w:noWrap/>
            <w:hideMark/>
          </w:tcPr>
          <w:p w14:paraId="2525D24F" w14:textId="77777777" w:rsidR="00154887" w:rsidRPr="00154887" w:rsidDel="003A42E6" w:rsidRDefault="00154887" w:rsidP="00154887">
            <w:pPr>
              <w:pStyle w:val="Tabletext"/>
            </w:pPr>
            <w:r>
              <w:t>Indirect and second-round effects</w:t>
            </w:r>
            <w:r w:rsidRPr="00154887">
              <w:t xml:space="preserve"> on inflation</w:t>
            </w:r>
          </w:p>
        </w:tc>
        <w:tc>
          <w:tcPr>
            <w:cnfStyle w:val="000010000000" w:firstRow="0" w:lastRow="0" w:firstColumn="0" w:lastColumn="0" w:oddVBand="1" w:evenVBand="0" w:oddHBand="0" w:evenHBand="0" w:firstRowFirstColumn="0" w:firstRowLastColumn="0" w:lastRowFirstColumn="0" w:lastRowLastColumn="0"/>
            <w:tcW w:w="861" w:type="pct"/>
          </w:tcPr>
          <w:p w14:paraId="3701DC31" w14:textId="77777777" w:rsidR="00154887" w:rsidRPr="00154887" w:rsidRDefault="00154887" w:rsidP="00154887">
            <w:pPr>
              <w:pStyle w:val="Tabletext"/>
            </w:pPr>
            <w:r w:rsidRPr="00F32930">
              <w:t>Fiscal and</w:t>
            </w:r>
            <w:r w:rsidRPr="00154887">
              <w:t xml:space="preserve"> monetary policy response in the euro area</w:t>
            </w:r>
          </w:p>
        </w:tc>
      </w:tr>
      <w:tr w:rsidR="00154887" w:rsidRPr="00F545D1" w:rsidDel="003A42E6" w14:paraId="76B03917" w14:textId="77777777" w:rsidTr="00F32930">
        <w:trPr>
          <w:trHeight w:val="303"/>
        </w:trPr>
        <w:tc>
          <w:tcPr>
            <w:cnfStyle w:val="001000000000" w:firstRow="0" w:lastRow="0" w:firstColumn="1" w:lastColumn="0" w:oddVBand="0" w:evenVBand="0" w:oddHBand="0" w:evenHBand="0" w:firstRowFirstColumn="0" w:firstRowLastColumn="0" w:lastRowFirstColumn="0" w:lastRowLastColumn="0"/>
            <w:tcW w:w="696" w:type="pct"/>
            <w:hideMark/>
          </w:tcPr>
          <w:p w14:paraId="25EA9F82" w14:textId="77777777" w:rsidR="00154887" w:rsidRPr="00154887" w:rsidDel="003A42E6" w:rsidRDefault="00154887" w:rsidP="00154887">
            <w:pPr>
              <w:pStyle w:val="Tabletext"/>
            </w:pPr>
            <w:r w:rsidRPr="002B10D5" w:rsidDel="003A42E6">
              <w:t>Baseline</w:t>
            </w:r>
            <w:r w:rsidRPr="00154887">
              <w:t xml:space="preserve"> </w:t>
            </w:r>
          </w:p>
        </w:tc>
        <w:tc>
          <w:tcPr>
            <w:cnfStyle w:val="000010000000" w:firstRow="0" w:lastRow="0" w:firstColumn="0" w:lastColumn="0" w:oddVBand="1" w:evenVBand="0" w:oddHBand="0" w:evenHBand="0" w:firstRowFirstColumn="0" w:firstRowLastColumn="0" w:lastRowFirstColumn="0" w:lastRowLastColumn="0"/>
            <w:tcW w:w="861" w:type="pct"/>
            <w:hideMark/>
          </w:tcPr>
          <w:p w14:paraId="34F60E2D" w14:textId="77777777" w:rsidR="00154887" w:rsidRPr="00154887" w:rsidDel="003A42E6" w:rsidRDefault="00154887" w:rsidP="00154887">
            <w:pPr>
              <w:pStyle w:val="Tabletext"/>
            </w:pPr>
            <w:r w:rsidRPr="00794CB3" w:rsidDel="003A42E6">
              <w:t xml:space="preserve">No </w:t>
            </w:r>
            <w:r w:rsidRPr="00154887">
              <w:t xml:space="preserve">explicit </w:t>
            </w:r>
            <w:r w:rsidRPr="00154887" w:rsidDel="003A42E6">
              <w:t>assumption on the duration of the conflict</w:t>
            </w:r>
            <w:r w:rsidRPr="00154887">
              <w:t xml:space="preserve"> or destruction of energy infrastructure</w:t>
            </w:r>
          </w:p>
        </w:tc>
        <w:tc>
          <w:tcPr>
            <w:cnfStyle w:val="000001000000" w:firstRow="0" w:lastRow="0" w:firstColumn="0" w:lastColumn="0" w:oddVBand="0" w:evenVBand="1" w:oddHBand="0" w:evenHBand="0" w:firstRowFirstColumn="0" w:firstRowLastColumn="0" w:lastRowFirstColumn="0" w:lastRowLastColumn="0"/>
            <w:tcW w:w="861" w:type="pct"/>
            <w:hideMark/>
          </w:tcPr>
          <w:p w14:paraId="5E8AA6EB" w14:textId="77777777" w:rsidR="00154887" w:rsidRPr="00154887" w:rsidDel="003A42E6" w:rsidRDefault="00154887" w:rsidP="00154887">
            <w:pPr>
              <w:pStyle w:val="Tabletext"/>
            </w:pPr>
            <w:r w:rsidRPr="00744697" w:rsidDel="003A42E6">
              <w:t>Energy prices follow</w:t>
            </w:r>
            <w:r w:rsidRPr="00154887">
              <w:t xml:space="preserve"> the</w:t>
            </w:r>
            <w:r w:rsidRPr="00154887" w:rsidDel="003A42E6">
              <w:t xml:space="preserve"> latest technical assumptions (cut</w:t>
            </w:r>
            <w:r w:rsidRPr="00154887">
              <w:t>-</w:t>
            </w:r>
            <w:r w:rsidRPr="00154887" w:rsidDel="003A42E6">
              <w:t xml:space="preserve">off </w:t>
            </w:r>
            <w:r w:rsidRPr="00154887">
              <w:t>date of 11 March 2026</w:t>
            </w:r>
            <w:r w:rsidRPr="00154887" w:rsidDel="003A42E6">
              <w:t>)</w:t>
            </w:r>
          </w:p>
        </w:tc>
        <w:tc>
          <w:tcPr>
            <w:cnfStyle w:val="000010000000" w:firstRow="0" w:lastRow="0" w:firstColumn="0" w:lastColumn="0" w:oddVBand="1" w:evenVBand="0" w:oddHBand="0" w:evenHBand="0" w:firstRowFirstColumn="0" w:firstRowLastColumn="0" w:lastRowFirstColumn="0" w:lastRowLastColumn="0"/>
            <w:tcW w:w="861" w:type="pct"/>
            <w:hideMark/>
          </w:tcPr>
          <w:p w14:paraId="083265A8" w14:textId="77777777" w:rsidR="00154887" w:rsidRPr="00154887" w:rsidDel="003A42E6" w:rsidRDefault="00154887" w:rsidP="00154887">
            <w:pPr>
              <w:pStyle w:val="Tabletext"/>
            </w:pPr>
            <w:r>
              <w:t>In line with the observed increase in the VIX index (4.4 points</w:t>
            </w:r>
            <w:r w:rsidRPr="00154887" w:rsidDel="003A42E6">
              <w:t xml:space="preserve"> </w:t>
            </w:r>
            <w:r w:rsidRPr="00154887">
              <w:t>between 27 February 2026 and the cut-off date of 11 March 2026)</w:t>
            </w:r>
            <w:r w:rsidRPr="00154887" w:rsidDel="003A42E6">
              <w:t xml:space="preserve"> </w:t>
            </w:r>
          </w:p>
        </w:tc>
        <w:tc>
          <w:tcPr>
            <w:cnfStyle w:val="000001000000" w:firstRow="0" w:lastRow="0" w:firstColumn="0" w:lastColumn="0" w:oddVBand="0" w:evenVBand="1" w:oddHBand="0" w:evenHBand="0" w:firstRowFirstColumn="0" w:firstRowLastColumn="0" w:lastRowFirstColumn="0" w:lastRowLastColumn="0"/>
            <w:tcW w:w="861" w:type="pct"/>
            <w:hideMark/>
          </w:tcPr>
          <w:p w14:paraId="1072A12C" w14:textId="77777777" w:rsidR="00154887" w:rsidRPr="00154887" w:rsidDel="003A42E6" w:rsidRDefault="00154887" w:rsidP="00154887">
            <w:pPr>
              <w:pStyle w:val="Tabletext"/>
            </w:pPr>
            <w:r w:rsidRPr="00566A6A">
              <w:t>Limited upward</w:t>
            </w:r>
            <w:r w:rsidRPr="00154887">
              <w:t xml:space="preserve"> adjustment based on judgment to account for possible larger impacts compared with the standard model elasticities due to the size of the energy shock</w:t>
            </w:r>
          </w:p>
        </w:tc>
        <w:tc>
          <w:tcPr>
            <w:cnfStyle w:val="000010000000" w:firstRow="0" w:lastRow="0" w:firstColumn="0" w:lastColumn="0" w:oddVBand="1" w:evenVBand="0" w:oddHBand="0" w:evenHBand="0" w:firstRowFirstColumn="0" w:firstRowLastColumn="0" w:lastRowFirstColumn="0" w:lastRowLastColumn="0"/>
            <w:tcW w:w="861" w:type="pct"/>
          </w:tcPr>
          <w:p w14:paraId="189DBEDF" w14:textId="77777777" w:rsidR="00154887" w:rsidRPr="00154887" w:rsidRDefault="00154887" w:rsidP="00154887">
            <w:pPr>
              <w:pStyle w:val="Tabletext"/>
            </w:pPr>
            <w:r>
              <w:t>Short-term interest rates follow the</w:t>
            </w:r>
            <w:r w:rsidRPr="00154887" w:rsidDel="003A42E6">
              <w:t xml:space="preserve"> latest technical assumptions (cut</w:t>
            </w:r>
            <w:r w:rsidRPr="00154887">
              <w:t>-</w:t>
            </w:r>
            <w:r w:rsidRPr="00154887" w:rsidDel="003A42E6">
              <w:t xml:space="preserve">off </w:t>
            </w:r>
            <w:r w:rsidRPr="00154887">
              <w:t>date of 11 March 2026</w:t>
            </w:r>
            <w:r w:rsidRPr="00154887" w:rsidDel="003A42E6">
              <w:t>)</w:t>
            </w:r>
            <w:r w:rsidRPr="00154887">
              <w:t xml:space="preserve">. Only fiscal policies legislated or announced and well-specified policies (see Box 3).    </w:t>
            </w:r>
          </w:p>
        </w:tc>
      </w:tr>
      <w:tr w:rsidR="00154887" w:rsidRPr="00F545D1" w:rsidDel="003A42E6" w14:paraId="07D06A8A" w14:textId="77777777" w:rsidTr="00F32930">
        <w:trPr>
          <w:trHeight w:val="303"/>
        </w:trPr>
        <w:tc>
          <w:tcPr>
            <w:cnfStyle w:val="001000000000" w:firstRow="0" w:lastRow="0" w:firstColumn="1" w:lastColumn="0" w:oddVBand="0" w:evenVBand="0" w:oddHBand="0" w:evenHBand="0" w:firstRowFirstColumn="0" w:firstRowLastColumn="0" w:lastRowFirstColumn="0" w:lastRowLastColumn="0"/>
            <w:tcW w:w="696" w:type="pct"/>
            <w:hideMark/>
          </w:tcPr>
          <w:p w14:paraId="618B1D84" w14:textId="77777777" w:rsidR="00154887" w:rsidRPr="00154887" w:rsidDel="003A42E6" w:rsidRDefault="00154887" w:rsidP="00154887">
            <w:pPr>
              <w:pStyle w:val="Tabletext"/>
            </w:pPr>
            <w:r w:rsidRPr="002B10D5">
              <w:t>A</w:t>
            </w:r>
            <w:r w:rsidRPr="00154887" w:rsidDel="003A42E6">
              <w:t>dverse</w:t>
            </w:r>
            <w:r w:rsidRPr="00154887">
              <w:t xml:space="preserve"> scenario</w:t>
            </w:r>
          </w:p>
        </w:tc>
        <w:tc>
          <w:tcPr>
            <w:cnfStyle w:val="000010000000" w:firstRow="0" w:lastRow="0" w:firstColumn="0" w:lastColumn="0" w:oddVBand="1" w:evenVBand="0" w:oddHBand="0" w:evenHBand="0" w:firstRowFirstColumn="0" w:firstRowLastColumn="0" w:lastRowFirstColumn="0" w:lastRowLastColumn="0"/>
            <w:tcW w:w="861" w:type="pct"/>
            <w:hideMark/>
          </w:tcPr>
          <w:p w14:paraId="30F83C07" w14:textId="77777777" w:rsidR="00154887" w:rsidRPr="00154887" w:rsidDel="003A42E6" w:rsidRDefault="00154887" w:rsidP="00154887">
            <w:pPr>
              <w:pStyle w:val="Tabletext"/>
            </w:pPr>
            <w:r>
              <w:t>A</w:t>
            </w:r>
            <w:r w:rsidRPr="00154887" w:rsidDel="003A42E6">
              <w:t xml:space="preserve">cute energy supply disruptions </w:t>
            </w:r>
            <w:r w:rsidRPr="00154887">
              <w:t xml:space="preserve">persist </w:t>
            </w:r>
            <w:r w:rsidRPr="00154887" w:rsidDel="003A42E6">
              <w:t xml:space="preserve">until </w:t>
            </w:r>
            <w:r w:rsidRPr="00154887">
              <w:t>Q3</w:t>
            </w:r>
            <w:r w:rsidRPr="00154887" w:rsidDel="003A42E6">
              <w:t xml:space="preserve"> 2026 </w:t>
            </w:r>
          </w:p>
          <w:p w14:paraId="3E23A1AC" w14:textId="77777777" w:rsidR="00154887" w:rsidRPr="00154887" w:rsidDel="003A42E6" w:rsidRDefault="00154887" w:rsidP="00154887">
            <w:pPr>
              <w:pStyle w:val="Tabletext"/>
            </w:pPr>
            <w:r w:rsidRPr="0074557B" w:rsidDel="003A42E6">
              <w:t xml:space="preserve">No significant </w:t>
            </w:r>
            <w:r w:rsidRPr="00154887">
              <w:t xml:space="preserve">further </w:t>
            </w:r>
            <w:r w:rsidRPr="00154887" w:rsidDel="003A42E6">
              <w:t>destruction of energy infrastructure</w:t>
            </w:r>
          </w:p>
        </w:tc>
        <w:tc>
          <w:tcPr>
            <w:cnfStyle w:val="000001000000" w:firstRow="0" w:lastRow="0" w:firstColumn="0" w:lastColumn="0" w:oddVBand="0" w:evenVBand="1" w:oddHBand="0" w:evenHBand="0" w:firstRowFirstColumn="0" w:firstRowLastColumn="0" w:lastRowFirstColumn="0" w:lastRowLastColumn="0"/>
            <w:tcW w:w="861" w:type="pct"/>
            <w:hideMark/>
          </w:tcPr>
          <w:p w14:paraId="77FE281C" w14:textId="77777777" w:rsidR="00154887" w:rsidRPr="00154887" w:rsidDel="003A42E6" w:rsidRDefault="00154887" w:rsidP="00154887">
            <w:pPr>
              <w:pStyle w:val="Tabletext"/>
            </w:pPr>
            <w:r>
              <w:t>4</w:t>
            </w:r>
            <w:r w:rsidRPr="00154887" w:rsidDel="003A42E6">
              <w:t xml:space="preserve">0% decline in Hormuz oil and LNG flows in </w:t>
            </w:r>
            <w:r w:rsidRPr="00154887">
              <w:t>Q2</w:t>
            </w:r>
            <w:r w:rsidRPr="00154887" w:rsidDel="003A42E6">
              <w:t xml:space="preserve"> 2026</w:t>
            </w:r>
          </w:p>
          <w:p w14:paraId="6C55B833" w14:textId="77777777" w:rsidR="00154887" w:rsidRPr="00154887" w:rsidDel="003A42E6" w:rsidRDefault="00154887" w:rsidP="00154887">
            <w:pPr>
              <w:pStyle w:val="Tabletext"/>
            </w:pPr>
            <w:r w:rsidRPr="000F1BE8" w:rsidDel="003A42E6">
              <w:t>Volumes (and prices) start normali</w:t>
            </w:r>
            <w:r w:rsidRPr="00154887">
              <w:t>s</w:t>
            </w:r>
            <w:r w:rsidRPr="00154887" w:rsidDel="003A42E6">
              <w:t xml:space="preserve">ing from </w:t>
            </w:r>
            <w:r w:rsidRPr="00154887">
              <w:t>Q4</w:t>
            </w:r>
            <w:r w:rsidRPr="00154887" w:rsidDel="003A42E6">
              <w:t xml:space="preserve"> 2026</w:t>
            </w:r>
          </w:p>
          <w:p w14:paraId="2F886A73" w14:textId="77777777" w:rsidR="00154887" w:rsidRPr="00154887" w:rsidDel="003A42E6" w:rsidRDefault="00154887" w:rsidP="00154887">
            <w:pPr>
              <w:pStyle w:val="Tabletext"/>
            </w:pPr>
            <w:r>
              <w:t>Supply</w:t>
            </w:r>
            <w:r w:rsidRPr="00154887" w:rsidDel="003A42E6">
              <w:t xml:space="preserve"> volume</w:t>
            </w:r>
            <w:r w:rsidRPr="00154887">
              <w:t>s</w:t>
            </w:r>
            <w:r w:rsidRPr="00154887" w:rsidDel="003A42E6">
              <w:t xml:space="preserve"> </w:t>
            </w:r>
            <w:r w:rsidRPr="00154887">
              <w:t>quickly normalise</w:t>
            </w:r>
            <w:r w:rsidRPr="00154887" w:rsidDel="003A42E6">
              <w:t xml:space="preserve"> once transit through Hormuz resumes</w:t>
            </w:r>
          </w:p>
        </w:tc>
        <w:tc>
          <w:tcPr>
            <w:cnfStyle w:val="000010000000" w:firstRow="0" w:lastRow="0" w:firstColumn="0" w:lastColumn="0" w:oddVBand="1" w:evenVBand="0" w:oddHBand="0" w:evenHBand="0" w:firstRowFirstColumn="0" w:firstRowLastColumn="0" w:lastRowFirstColumn="0" w:lastRowLastColumn="0"/>
            <w:tcW w:w="861" w:type="pct"/>
            <w:hideMark/>
          </w:tcPr>
          <w:p w14:paraId="1F68833D" w14:textId="77777777" w:rsidR="00154887" w:rsidRPr="00154887" w:rsidDel="003A42E6" w:rsidRDefault="00154887" w:rsidP="00154887">
            <w:pPr>
              <w:pStyle w:val="Tabletext"/>
            </w:pPr>
            <w:r w:rsidRPr="00EF09E3" w:rsidDel="003A42E6">
              <w:t xml:space="preserve">An increase in </w:t>
            </w:r>
            <w:r w:rsidRPr="00154887">
              <w:t xml:space="preserve">the </w:t>
            </w:r>
            <w:r w:rsidRPr="00154887" w:rsidDel="003A42E6">
              <w:t>VIX</w:t>
            </w:r>
            <w:r w:rsidRPr="00154887">
              <w:t xml:space="preserve"> index</w:t>
            </w:r>
            <w:r w:rsidRPr="00154887" w:rsidDel="003A42E6">
              <w:t xml:space="preserve"> of 10 points with </w:t>
            </w:r>
            <w:r w:rsidRPr="00154887">
              <w:t xml:space="preserve">a </w:t>
            </w:r>
            <w:r w:rsidRPr="00154887" w:rsidDel="003A42E6">
              <w:t xml:space="preserve">fast reversal in </w:t>
            </w:r>
            <w:r w:rsidRPr="00154887">
              <w:t>Q3</w:t>
            </w:r>
            <w:r w:rsidRPr="00154887" w:rsidDel="003A42E6">
              <w:t xml:space="preserve"> 2026 towards the </w:t>
            </w:r>
            <w:r w:rsidRPr="00154887">
              <w:t>Q4</w:t>
            </w:r>
            <w:r w:rsidRPr="00154887" w:rsidDel="003A42E6">
              <w:t xml:space="preserve"> 2025 level</w:t>
            </w:r>
            <w:r w:rsidRPr="00154887">
              <w:t xml:space="preserve"> </w:t>
            </w:r>
          </w:p>
        </w:tc>
        <w:tc>
          <w:tcPr>
            <w:cnfStyle w:val="000001000000" w:firstRow="0" w:lastRow="0" w:firstColumn="0" w:lastColumn="0" w:oddVBand="0" w:evenVBand="1" w:oddHBand="0" w:evenHBand="0" w:firstRowFirstColumn="0" w:firstRowLastColumn="0" w:lastRowFirstColumn="0" w:lastRowLastColumn="0"/>
            <w:tcW w:w="861" w:type="pct"/>
            <w:hideMark/>
          </w:tcPr>
          <w:p w14:paraId="077F7D40" w14:textId="5DC932B3" w:rsidR="00154887" w:rsidRPr="00154887" w:rsidDel="003A42E6" w:rsidRDefault="00154887" w:rsidP="00154887">
            <w:pPr>
              <w:pStyle w:val="Tabletext"/>
            </w:pPr>
            <w:r w:rsidRPr="00D70CAA">
              <w:t>Scaled between the baseline and</w:t>
            </w:r>
            <w:r w:rsidRPr="00154887">
              <w:t xml:space="preserve"> the impacts seen after the invasion of Ukraine in 2022 (see footnote </w:t>
            </w:r>
            <w:r w:rsidRPr="00154887">
              <w:fldChar w:fldCharType="begin"/>
            </w:r>
            <w:r w:rsidRPr="00154887">
              <w:instrText xml:space="preserve"> NOTEREF _Ref224403239 \h </w:instrText>
            </w:r>
            <w:r w:rsidRPr="00154887">
              <w:fldChar w:fldCharType="separate"/>
            </w:r>
            <w:r w:rsidR="004D705B">
              <w:t>18</w:t>
            </w:r>
            <w:r w:rsidRPr="00154887">
              <w:fldChar w:fldCharType="end"/>
            </w:r>
            <w:r w:rsidRPr="00154887">
              <w:t>)</w:t>
            </w:r>
          </w:p>
        </w:tc>
        <w:tc>
          <w:tcPr>
            <w:cnfStyle w:val="000010000000" w:firstRow="0" w:lastRow="0" w:firstColumn="0" w:lastColumn="0" w:oddVBand="1" w:evenVBand="0" w:oddHBand="0" w:evenHBand="0" w:firstRowFirstColumn="0" w:firstRowLastColumn="0" w:lastRowFirstColumn="0" w:lastRowLastColumn="0"/>
            <w:tcW w:w="861" w:type="pct"/>
          </w:tcPr>
          <w:p w14:paraId="40F4BBAB" w14:textId="77777777" w:rsidR="00154887" w:rsidRPr="00154887" w:rsidRDefault="00154887" w:rsidP="00154887">
            <w:pPr>
              <w:pStyle w:val="Tabletext"/>
            </w:pPr>
            <w:r>
              <w:t>None</w:t>
            </w:r>
            <w:r w:rsidRPr="00154887">
              <w:t xml:space="preserve"> beyond the policies included in the baseline</w:t>
            </w:r>
          </w:p>
        </w:tc>
      </w:tr>
      <w:tr w:rsidR="00154887" w:rsidRPr="00F545D1" w:rsidDel="003A42E6" w14:paraId="431AE705" w14:textId="77777777" w:rsidTr="00F32930">
        <w:trPr>
          <w:trHeight w:val="303"/>
        </w:trPr>
        <w:tc>
          <w:tcPr>
            <w:cnfStyle w:val="001000000000" w:firstRow="0" w:lastRow="0" w:firstColumn="1" w:lastColumn="0" w:oddVBand="0" w:evenVBand="0" w:oddHBand="0" w:evenHBand="0" w:firstRowFirstColumn="0" w:firstRowLastColumn="0" w:lastRowFirstColumn="0" w:lastRowLastColumn="0"/>
            <w:tcW w:w="696" w:type="pct"/>
          </w:tcPr>
          <w:p w14:paraId="6193D452" w14:textId="77777777" w:rsidR="00154887" w:rsidRPr="00154887" w:rsidDel="003A42E6" w:rsidRDefault="00154887" w:rsidP="00154887">
            <w:pPr>
              <w:pStyle w:val="Tabletext"/>
            </w:pPr>
            <w:r w:rsidRPr="002B10D5">
              <w:t>S</w:t>
            </w:r>
            <w:r w:rsidRPr="00154887" w:rsidDel="003A42E6">
              <w:t>evere</w:t>
            </w:r>
            <w:r w:rsidRPr="00154887">
              <w:t xml:space="preserve"> scenario</w:t>
            </w:r>
          </w:p>
        </w:tc>
        <w:tc>
          <w:tcPr>
            <w:cnfStyle w:val="000010000000" w:firstRow="0" w:lastRow="0" w:firstColumn="0" w:lastColumn="0" w:oddVBand="1" w:evenVBand="0" w:oddHBand="0" w:evenHBand="0" w:firstRowFirstColumn="0" w:firstRowLastColumn="0" w:lastRowFirstColumn="0" w:lastRowLastColumn="0"/>
            <w:tcW w:w="861" w:type="pct"/>
          </w:tcPr>
          <w:p w14:paraId="7F4543B9" w14:textId="77777777" w:rsidR="00154887" w:rsidRPr="00154887" w:rsidDel="003A42E6" w:rsidRDefault="00154887" w:rsidP="00154887">
            <w:pPr>
              <w:pStyle w:val="Tabletext"/>
            </w:pPr>
            <w:r>
              <w:t>A</w:t>
            </w:r>
            <w:r w:rsidRPr="00154887" w:rsidDel="003A42E6">
              <w:t xml:space="preserve">cute energy supply disruptions </w:t>
            </w:r>
            <w:r w:rsidRPr="00154887">
              <w:t xml:space="preserve">persist </w:t>
            </w:r>
            <w:r w:rsidRPr="00154887" w:rsidDel="003A42E6">
              <w:t xml:space="preserve">until </w:t>
            </w:r>
            <w:r w:rsidRPr="00154887">
              <w:t>Q4</w:t>
            </w:r>
            <w:r w:rsidRPr="00154887" w:rsidDel="003A42E6">
              <w:t xml:space="preserve"> 2026</w:t>
            </w:r>
          </w:p>
          <w:p w14:paraId="1F440CAA" w14:textId="77777777" w:rsidR="00154887" w:rsidRPr="00154887" w:rsidDel="003A42E6" w:rsidRDefault="00154887" w:rsidP="00154887">
            <w:pPr>
              <w:pStyle w:val="Tabletext"/>
            </w:pPr>
            <w:r>
              <w:t>Significant further d</w:t>
            </w:r>
            <w:r w:rsidRPr="00154887" w:rsidDel="003A42E6">
              <w:t>estruction of energy infrastructure</w:t>
            </w:r>
          </w:p>
        </w:tc>
        <w:tc>
          <w:tcPr>
            <w:cnfStyle w:val="000001000000" w:firstRow="0" w:lastRow="0" w:firstColumn="0" w:lastColumn="0" w:oddVBand="0" w:evenVBand="1" w:oddHBand="0" w:evenHBand="0" w:firstRowFirstColumn="0" w:firstRowLastColumn="0" w:lastRowFirstColumn="0" w:lastRowLastColumn="0"/>
            <w:tcW w:w="861" w:type="pct"/>
          </w:tcPr>
          <w:p w14:paraId="10A6A45C" w14:textId="77777777" w:rsidR="00154887" w:rsidRPr="00154887" w:rsidDel="003A42E6" w:rsidRDefault="00154887" w:rsidP="00154887">
            <w:pPr>
              <w:pStyle w:val="Tabletext"/>
            </w:pPr>
            <w:r>
              <w:t>6</w:t>
            </w:r>
            <w:r w:rsidRPr="00154887" w:rsidDel="003A42E6">
              <w:t xml:space="preserve">0% decline in Hormuz oil and LNG flows in </w:t>
            </w:r>
            <w:r w:rsidRPr="00154887">
              <w:t>Q2</w:t>
            </w:r>
            <w:r w:rsidRPr="00154887" w:rsidDel="003A42E6">
              <w:t xml:space="preserve"> 2026</w:t>
            </w:r>
          </w:p>
          <w:p w14:paraId="63FC25A7" w14:textId="77777777" w:rsidR="00154887" w:rsidRPr="00154887" w:rsidDel="003A42E6" w:rsidRDefault="00154887" w:rsidP="00154887">
            <w:pPr>
              <w:pStyle w:val="Tabletext"/>
            </w:pPr>
            <w:r w:rsidRPr="0077634D" w:rsidDel="003A42E6">
              <w:t>Volumes (and prices) start normali</w:t>
            </w:r>
            <w:r w:rsidRPr="00154887">
              <w:t>s</w:t>
            </w:r>
            <w:r w:rsidRPr="00154887" w:rsidDel="003A42E6">
              <w:t xml:space="preserve">ing from </w:t>
            </w:r>
            <w:r w:rsidRPr="00154887">
              <w:t>Q1</w:t>
            </w:r>
            <w:r w:rsidRPr="00154887" w:rsidDel="003A42E6">
              <w:t xml:space="preserve"> 2027</w:t>
            </w:r>
          </w:p>
          <w:p w14:paraId="5B3D5567" w14:textId="77777777" w:rsidR="00154887" w:rsidRPr="00154887" w:rsidDel="003A42E6" w:rsidRDefault="00154887" w:rsidP="00154887">
            <w:pPr>
              <w:pStyle w:val="Tabletext"/>
            </w:pPr>
            <w:r w:rsidRPr="00ED15B5" w:rsidDel="003A42E6">
              <w:t>S</w:t>
            </w:r>
            <w:r w:rsidRPr="00154887">
              <w:t>upply volumes are s</w:t>
            </w:r>
            <w:r w:rsidRPr="00154887" w:rsidDel="003A42E6">
              <w:t xml:space="preserve">low </w:t>
            </w:r>
            <w:r w:rsidRPr="00154887">
              <w:t>to normalise</w:t>
            </w:r>
            <w:r w:rsidRPr="00154887" w:rsidDel="003A42E6">
              <w:t xml:space="preserve"> once the conflict is resolved</w:t>
            </w:r>
            <w:r w:rsidRPr="00154887">
              <w:t>,</w:t>
            </w:r>
            <w:r w:rsidRPr="00154887" w:rsidDel="003A42E6">
              <w:t xml:space="preserve"> due to </w:t>
            </w:r>
            <w:r w:rsidRPr="00154887">
              <w:t xml:space="preserve">destruction of </w:t>
            </w:r>
            <w:r w:rsidRPr="00154887" w:rsidDel="003A42E6">
              <w:t>energy infrastructure</w:t>
            </w:r>
          </w:p>
        </w:tc>
        <w:tc>
          <w:tcPr>
            <w:cnfStyle w:val="000010000000" w:firstRow="0" w:lastRow="0" w:firstColumn="0" w:lastColumn="0" w:oddVBand="1" w:evenVBand="0" w:oddHBand="0" w:evenHBand="0" w:firstRowFirstColumn="0" w:firstRowLastColumn="0" w:lastRowFirstColumn="0" w:lastRowLastColumn="0"/>
            <w:tcW w:w="861" w:type="pct"/>
          </w:tcPr>
          <w:p w14:paraId="5B02332C" w14:textId="77777777" w:rsidR="00154887" w:rsidRPr="00154887" w:rsidDel="003A42E6" w:rsidRDefault="00154887" w:rsidP="00154887">
            <w:pPr>
              <w:pStyle w:val="Tabletext"/>
            </w:pPr>
            <w:r w:rsidRPr="003F7FC3" w:rsidDel="003A42E6">
              <w:t xml:space="preserve">An increase in </w:t>
            </w:r>
            <w:r w:rsidRPr="00154887">
              <w:t xml:space="preserve">the </w:t>
            </w:r>
            <w:r w:rsidRPr="00154887" w:rsidDel="003A42E6">
              <w:t>VIX</w:t>
            </w:r>
            <w:r w:rsidRPr="00154887">
              <w:t xml:space="preserve"> index</w:t>
            </w:r>
            <w:r w:rsidRPr="00154887" w:rsidDel="003A42E6">
              <w:t xml:space="preserve"> of</w:t>
            </w:r>
            <w:r w:rsidRPr="00154887">
              <w:t xml:space="preserve"> </w:t>
            </w:r>
            <w:r w:rsidRPr="00154887" w:rsidDel="003A42E6">
              <w:t>14 points</w:t>
            </w:r>
            <w:r w:rsidRPr="00154887">
              <w:t>,</w:t>
            </w:r>
            <w:r w:rsidRPr="00154887" w:rsidDel="003A42E6">
              <w:t xml:space="preserve"> </w:t>
            </w:r>
            <w:r w:rsidRPr="00154887">
              <w:t>with</w:t>
            </w:r>
            <w:r w:rsidRPr="00154887" w:rsidDel="003A42E6">
              <w:t xml:space="preserve"> uncertainty </w:t>
            </w:r>
            <w:r w:rsidRPr="00154887">
              <w:t>remaining</w:t>
            </w:r>
            <w:r w:rsidRPr="00154887" w:rsidDel="003A42E6">
              <w:t xml:space="preserve"> significantly more elevated compared </w:t>
            </w:r>
            <w:r w:rsidRPr="00154887">
              <w:t>with</w:t>
            </w:r>
            <w:r w:rsidRPr="00154887" w:rsidDel="003A42E6">
              <w:t xml:space="preserve"> the adverse </w:t>
            </w:r>
            <w:r w:rsidRPr="00154887">
              <w:t xml:space="preserve">scenario </w:t>
            </w:r>
            <w:r w:rsidRPr="00154887" w:rsidDel="003A42E6">
              <w:t>until end</w:t>
            </w:r>
            <w:r w:rsidRPr="00154887">
              <w:t>-</w:t>
            </w:r>
            <w:r w:rsidRPr="00154887" w:rsidDel="003A42E6">
              <w:t>2027</w:t>
            </w:r>
          </w:p>
        </w:tc>
        <w:tc>
          <w:tcPr>
            <w:cnfStyle w:val="000001000000" w:firstRow="0" w:lastRow="0" w:firstColumn="0" w:lastColumn="0" w:oddVBand="0" w:evenVBand="1" w:oddHBand="0" w:evenHBand="0" w:firstRowFirstColumn="0" w:firstRowLastColumn="0" w:lastRowFirstColumn="0" w:lastRowLastColumn="0"/>
            <w:tcW w:w="861" w:type="pct"/>
          </w:tcPr>
          <w:p w14:paraId="7E720841" w14:textId="779267AB" w:rsidR="00154887" w:rsidRPr="00154887" w:rsidDel="003A42E6" w:rsidRDefault="00154887" w:rsidP="00154887">
            <w:pPr>
              <w:pStyle w:val="Tabletext"/>
            </w:pPr>
            <w:r w:rsidRPr="00D70CAA">
              <w:t>Scaled between the baseline and</w:t>
            </w:r>
            <w:r w:rsidRPr="00154887">
              <w:t xml:space="preserve"> the impacts seen after the invasion of Ukraine in 2022 (stronger impacts than in the adverse scenario to account for significant non-linearities in </w:t>
            </w:r>
            <w:r w:rsidR="00240E29">
              <w:t>the event</w:t>
            </w:r>
            <w:r w:rsidRPr="00154887">
              <w:t xml:space="preserve"> of large shocks) (see footnote </w:t>
            </w:r>
            <w:r w:rsidRPr="00154887">
              <w:fldChar w:fldCharType="begin"/>
            </w:r>
            <w:r w:rsidRPr="00154887">
              <w:instrText xml:space="preserve"> NOTEREF _Ref224403239 \h </w:instrText>
            </w:r>
            <w:r w:rsidRPr="00154887">
              <w:fldChar w:fldCharType="separate"/>
            </w:r>
            <w:r w:rsidR="004D705B">
              <w:t>18</w:t>
            </w:r>
            <w:r w:rsidRPr="00154887">
              <w:fldChar w:fldCharType="end"/>
            </w:r>
            <w:r w:rsidRPr="00154887">
              <w:t>)</w:t>
            </w:r>
          </w:p>
        </w:tc>
        <w:tc>
          <w:tcPr>
            <w:cnfStyle w:val="000010000000" w:firstRow="0" w:lastRow="0" w:firstColumn="0" w:lastColumn="0" w:oddVBand="1" w:evenVBand="0" w:oddHBand="0" w:evenHBand="0" w:firstRowFirstColumn="0" w:firstRowLastColumn="0" w:lastRowFirstColumn="0" w:lastRowLastColumn="0"/>
            <w:tcW w:w="861" w:type="pct"/>
          </w:tcPr>
          <w:p w14:paraId="77B3ADAE" w14:textId="77777777" w:rsidR="00154887" w:rsidRPr="00154887" w:rsidRDefault="00154887" w:rsidP="00154887">
            <w:pPr>
              <w:pStyle w:val="Tabletext"/>
            </w:pPr>
            <w:r>
              <w:t>None beyond the policies included in the baseline</w:t>
            </w:r>
          </w:p>
        </w:tc>
      </w:tr>
    </w:tbl>
    <w:p w14:paraId="7A1D7990" w14:textId="77777777" w:rsidR="00154887" w:rsidRPr="00821B34" w:rsidRDefault="00154887" w:rsidP="00154887">
      <w:pPr>
        <w:pStyle w:val="Heading2"/>
      </w:pPr>
      <w:bookmarkStart w:id="9" w:name="_Toc224823016"/>
      <w:r w:rsidRPr="00821B34">
        <w:lastRenderedPageBreak/>
        <w:t>Key assumptions underlying the alternative scenarios</w:t>
      </w:r>
      <w:bookmarkEnd w:id="9"/>
    </w:p>
    <w:p w14:paraId="57CD85D8" w14:textId="77777777" w:rsidR="00154887" w:rsidRPr="00821B34" w:rsidRDefault="00154887" w:rsidP="00154887">
      <w:pPr>
        <w:pStyle w:val="Heading3"/>
      </w:pPr>
      <w:r w:rsidRPr="00821B34">
        <w:t>Energy commodity prices</w:t>
      </w:r>
    </w:p>
    <w:p w14:paraId="0294851E" w14:textId="1B6AC031" w:rsidR="00154887" w:rsidRDefault="00154887" w:rsidP="00204B51">
      <w:pPr>
        <w:rPr>
          <w:rStyle w:val="IntenseEmphasis"/>
        </w:rPr>
      </w:pPr>
      <w:r>
        <w:rPr>
          <w:rStyle w:val="IntenseEmphasis"/>
        </w:rPr>
        <w:t>Oil and gas prices would increase significantly if the conflict has a longer-lasting impact on the energy supply</w:t>
      </w:r>
      <w:r w:rsidRPr="00B22F85">
        <w:rPr>
          <w:rStyle w:val="IntenseEmphasis"/>
        </w:rPr>
        <w:t xml:space="preserve">. </w:t>
      </w:r>
      <w:r w:rsidRPr="00FD38B1">
        <w:t xml:space="preserve">The </w:t>
      </w:r>
      <w:r>
        <w:t>scenarios</w:t>
      </w:r>
      <w:r w:rsidRPr="00FD38B1">
        <w:t xml:space="preserve"> described above </w:t>
      </w:r>
      <w:r>
        <w:t>result in</w:t>
      </w:r>
      <w:r w:rsidRPr="00FD38B1">
        <w:t xml:space="preserve"> different energy price dynamics </w:t>
      </w:r>
      <w:r>
        <w:t>(</w:t>
      </w:r>
      <w:r w:rsidR="002C51C9">
        <w:fldChar w:fldCharType="begin"/>
      </w:r>
      <w:r w:rsidR="002C51C9">
        <w:instrText xml:space="preserve"> REF _Ref224310259 \h </w:instrText>
      </w:r>
      <w:r w:rsidR="002C51C9">
        <w:fldChar w:fldCharType="separate"/>
      </w:r>
      <w:r w:rsidR="004D705B" w:rsidRPr="007839D5">
        <w:rPr>
          <w:rStyle w:val="IntenseEmphasis"/>
        </w:rPr>
        <w:t xml:space="preserve">Chart </w:t>
      </w:r>
      <w:r w:rsidR="004D705B">
        <w:rPr>
          <w:rStyle w:val="IntenseEmphasis"/>
          <w:noProof/>
        </w:rPr>
        <w:t>11</w:t>
      </w:r>
      <w:r w:rsidR="002C51C9">
        <w:fldChar w:fldCharType="end"/>
      </w:r>
      <w:r w:rsidR="002C51C9">
        <w:t xml:space="preserve"> </w:t>
      </w:r>
      <w:r>
        <w:t>and</w:t>
      </w:r>
      <w:r w:rsidR="00625CD0">
        <w:t xml:space="preserve"> </w:t>
      </w:r>
      <w:r w:rsidR="002C51C9">
        <w:fldChar w:fldCharType="begin"/>
      </w:r>
      <w:r w:rsidR="002C51C9">
        <w:instrText xml:space="preserve"> REF _Ref224808000 \h </w:instrText>
      </w:r>
      <w:r w:rsidR="002C51C9">
        <w:fldChar w:fldCharType="separate"/>
      </w:r>
      <w:r w:rsidR="004D705B" w:rsidRPr="00C565B1">
        <w:rPr>
          <w:rStyle w:val="IntenseEmphasis"/>
        </w:rPr>
        <w:t xml:space="preserve">Table </w:t>
      </w:r>
      <w:r w:rsidR="004D705B">
        <w:rPr>
          <w:rStyle w:val="IntenseEmphasis"/>
          <w:noProof/>
        </w:rPr>
        <w:t>5</w:t>
      </w:r>
      <w:r w:rsidR="002C51C9">
        <w:fldChar w:fldCharType="end"/>
      </w:r>
      <w:r>
        <w:t>)</w:t>
      </w:r>
      <w:r w:rsidRPr="00FD38B1">
        <w:t xml:space="preserve">. </w:t>
      </w:r>
      <w:r>
        <w:t xml:space="preserve">The baseline assumes </w:t>
      </w:r>
      <w:r w:rsidRPr="00165253">
        <w:t xml:space="preserve">that quarterly average oil </w:t>
      </w:r>
      <w:r>
        <w:t xml:space="preserve">prices </w:t>
      </w:r>
      <w:r w:rsidRPr="00165253">
        <w:t xml:space="preserve">and </w:t>
      </w:r>
      <w:r w:rsidRPr="00FD38B1">
        <w:t xml:space="preserve">European </w:t>
      </w:r>
      <w:r w:rsidRPr="00165253">
        <w:t>gas prices peak at around USD 90</w:t>
      </w:r>
      <w:r>
        <w:t xml:space="preserve"> per barrel </w:t>
      </w:r>
      <w:r w:rsidRPr="00165253">
        <w:t xml:space="preserve">and </w:t>
      </w:r>
      <w:r>
        <w:t>€</w:t>
      </w:r>
      <w:r w:rsidRPr="00165253">
        <w:t>50</w:t>
      </w:r>
      <w:r>
        <w:t xml:space="preserve"> per </w:t>
      </w:r>
      <w:r w:rsidRPr="00165253">
        <w:t xml:space="preserve">MWh respectively in the second quarter of 2026 </w:t>
      </w:r>
      <w:r>
        <w:t>and then</w:t>
      </w:r>
      <w:r w:rsidRPr="00165253">
        <w:t xml:space="preserve"> declin</w:t>
      </w:r>
      <w:r>
        <w:t>e</w:t>
      </w:r>
      <w:r w:rsidRPr="00165253">
        <w:t xml:space="preserve"> relatively </w:t>
      </w:r>
      <w:r>
        <w:t>rapidly</w:t>
      </w:r>
      <w:r w:rsidRPr="00165253">
        <w:t xml:space="preserve"> over the following quarters.</w:t>
      </w:r>
      <w:r>
        <w:t xml:space="preserve"> </w:t>
      </w:r>
      <w:r w:rsidRPr="00FD38B1">
        <w:t xml:space="preserve">In the </w:t>
      </w:r>
      <w:r>
        <w:t>adverse</w:t>
      </w:r>
      <w:r w:rsidRPr="00FD38B1">
        <w:t xml:space="preserve"> scenario, supply disruptions trigger </w:t>
      </w:r>
      <w:r>
        <w:t xml:space="preserve">further </w:t>
      </w:r>
      <w:r w:rsidRPr="00FD38B1">
        <w:t>sharp</w:t>
      </w:r>
      <w:r>
        <w:t xml:space="preserve"> </w:t>
      </w:r>
      <w:r w:rsidRPr="00FD38B1">
        <w:t>increase</w:t>
      </w:r>
      <w:r>
        <w:t>s</w:t>
      </w:r>
      <w:r w:rsidRPr="00FD38B1">
        <w:t xml:space="preserve"> in energy prices, with </w:t>
      </w:r>
      <w:r>
        <w:t xml:space="preserve">the </w:t>
      </w:r>
      <w:r w:rsidRPr="00FD38B1">
        <w:t>oil</w:t>
      </w:r>
      <w:r>
        <w:t xml:space="preserve"> price</w:t>
      </w:r>
      <w:r w:rsidRPr="00FD38B1">
        <w:t xml:space="preserve"> rising to almost </w:t>
      </w:r>
      <w:r>
        <w:t xml:space="preserve">USD </w:t>
      </w:r>
      <w:r w:rsidRPr="00FD38B1">
        <w:t>1</w:t>
      </w:r>
      <w:r>
        <w:t>2</w:t>
      </w:r>
      <w:r w:rsidRPr="00FD38B1">
        <w:t xml:space="preserve">0 per barrel and gas prices approaching </w:t>
      </w:r>
      <w:r>
        <w:t xml:space="preserve">€90 per </w:t>
      </w:r>
      <w:r w:rsidRPr="00FD38B1">
        <w:t>MWh</w:t>
      </w:r>
      <w:r>
        <w:t xml:space="preserve"> in the second quarter of 2026</w:t>
      </w:r>
      <w:r w:rsidRPr="00FD38B1">
        <w:t>.</w:t>
      </w:r>
      <w:r>
        <w:rPr>
          <w:rStyle w:val="FootnoteReference"/>
        </w:rPr>
        <w:footnoteReference w:id="15"/>
      </w:r>
      <w:r w:rsidRPr="00FD38B1">
        <w:t xml:space="preserve"> However, as supply volumes are assumed to </w:t>
      </w:r>
      <w:r>
        <w:t xml:space="preserve">return to </w:t>
      </w:r>
      <w:r w:rsidRPr="00FD38B1">
        <w:t xml:space="preserve">normal quickly, prices </w:t>
      </w:r>
      <w:r>
        <w:t>start to decline as of the fourth quarter of</w:t>
      </w:r>
      <w:r w:rsidRPr="00FD38B1">
        <w:t xml:space="preserve"> 2026</w:t>
      </w:r>
      <w:r w:rsidR="00240E29">
        <w:t>,</w:t>
      </w:r>
      <w:r w:rsidRPr="00D227F3">
        <w:t xml:space="preserve"> converging to the baseline assumptions by the third quarter of 2027</w:t>
      </w:r>
      <w:r w:rsidRPr="00FD38B1">
        <w:t xml:space="preserve">. In the </w:t>
      </w:r>
      <w:r>
        <w:t>severe</w:t>
      </w:r>
      <w:r w:rsidRPr="00FD38B1">
        <w:t xml:space="preserve"> scenario, the much stronger initial supply shock pushes oil and gas prices </w:t>
      </w:r>
      <w:r>
        <w:t xml:space="preserve">up </w:t>
      </w:r>
      <w:r w:rsidRPr="00FD38B1">
        <w:t xml:space="preserve">to </w:t>
      </w:r>
      <w:r>
        <w:t>almost</w:t>
      </w:r>
      <w:r w:rsidRPr="00FD38B1">
        <w:t xml:space="preserve"> </w:t>
      </w:r>
      <w:r>
        <w:t xml:space="preserve">USD </w:t>
      </w:r>
      <w:r w:rsidRPr="00FD38B1">
        <w:t>150 per barrel and</w:t>
      </w:r>
      <w:r>
        <w:t xml:space="preserve"> €110 per </w:t>
      </w:r>
      <w:r w:rsidRPr="00FD38B1">
        <w:t>MWh respectively</w:t>
      </w:r>
      <w:r>
        <w:t xml:space="preserve"> in the second quarter of 2026</w:t>
      </w:r>
      <w:r w:rsidRPr="00FD38B1">
        <w:t xml:space="preserve">. Because </w:t>
      </w:r>
      <w:r>
        <w:t xml:space="preserve">the </w:t>
      </w:r>
      <w:r w:rsidRPr="00FD38B1">
        <w:t xml:space="preserve">supply disruptions take longer to </w:t>
      </w:r>
      <w:r>
        <w:t>resolve</w:t>
      </w:r>
      <w:r w:rsidRPr="00FD38B1">
        <w:t>, the price impact of the shock is more persistent</w:t>
      </w:r>
      <w:r w:rsidR="00401170">
        <w:t>, with</w:t>
      </w:r>
      <w:r w:rsidR="00401170" w:rsidRPr="00401170">
        <w:t xml:space="preserve"> a much slower </w:t>
      </w:r>
      <w:r w:rsidR="00401170">
        <w:t xml:space="preserve">decline. Oil and gas prices therefore </w:t>
      </w:r>
      <w:r w:rsidR="00401170" w:rsidRPr="00401170">
        <w:t xml:space="preserve">remain </w:t>
      </w:r>
      <w:r w:rsidR="00401170">
        <w:t xml:space="preserve">significantly </w:t>
      </w:r>
      <w:r w:rsidR="00401170" w:rsidRPr="00401170">
        <w:t xml:space="preserve">above both the baseline and adverse scenario assumptions over the </w:t>
      </w:r>
      <w:r w:rsidR="00401170">
        <w:t xml:space="preserve">full </w:t>
      </w:r>
      <w:r w:rsidR="00401170" w:rsidRPr="00401170">
        <w:t>projection horizon</w:t>
      </w:r>
      <w:r w:rsidR="00401170">
        <w:t>.</w:t>
      </w:r>
      <w:r w:rsidR="00401170" w:rsidRPr="00401170">
        <w:t xml:space="preserve"> </w:t>
      </w:r>
      <w:r>
        <w:t>However, d</w:t>
      </w:r>
      <w:r w:rsidRPr="00ED167D">
        <w:t>espite</w:t>
      </w:r>
      <w:r>
        <w:t xml:space="preserve"> the </w:t>
      </w:r>
      <w:r w:rsidRPr="00ED167D">
        <w:t xml:space="preserve">severity of the </w:t>
      </w:r>
      <w:r>
        <w:t>initial shock</w:t>
      </w:r>
      <w:r w:rsidRPr="00ED167D">
        <w:t>,</w:t>
      </w:r>
      <w:r>
        <w:t xml:space="preserve"> prices</w:t>
      </w:r>
      <w:r w:rsidRPr="00FD38B1">
        <w:t xml:space="preserve"> </w:t>
      </w:r>
      <w:r>
        <w:t xml:space="preserve">for both oil and gas </w:t>
      </w:r>
      <w:r w:rsidRPr="00ED167D">
        <w:t xml:space="preserve">remain below the 95th percentile of the option-implied </w:t>
      </w:r>
      <w:r>
        <w:t xml:space="preserve">neutral </w:t>
      </w:r>
      <w:r w:rsidRPr="00ED167D">
        <w:t>densit</w:t>
      </w:r>
      <w:r>
        <w:t>ies</w:t>
      </w:r>
      <w:r w:rsidRPr="00ED167D">
        <w:t xml:space="preserve"> for most of the projection horizon</w:t>
      </w:r>
      <w:r>
        <w:t xml:space="preserve"> (see also Section 4.1). </w:t>
      </w:r>
    </w:p>
    <w:p w14:paraId="16C3749E" w14:textId="13FF38FB" w:rsidR="00154887" w:rsidRPr="0013094A" w:rsidRDefault="00154887" w:rsidP="00937A6E">
      <w:pPr>
        <w:pStyle w:val="Chartright-Heading"/>
      </w:pPr>
      <w:r w:rsidRPr="007839D5">
        <w:rPr>
          <w:rStyle w:val="IntenseEmphasis"/>
        </w:rPr>
        <w:lastRenderedPageBreak/>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sidR="004D705B">
        <w:rPr>
          <w:rStyle w:val="IntenseEmphasis"/>
          <w:noProof/>
        </w:rPr>
        <w:t>11</w:t>
      </w:r>
      <w:r w:rsidRPr="007839D5">
        <w:rPr>
          <w:rStyle w:val="IntenseEmphasis"/>
        </w:rPr>
        <w:fldChar w:fldCharType="end"/>
      </w:r>
      <w:r w:rsidRPr="0013094A">
        <w:br/>
      </w:r>
      <w:r>
        <w:t>Assumptions for the paths of e</w:t>
      </w:r>
      <w:r w:rsidRPr="00B22F85">
        <w:t>nergy commodity price</w:t>
      </w:r>
      <w:r>
        <w:t>s</w:t>
      </w:r>
    </w:p>
    <w:tbl>
      <w:tblPr>
        <w:tblStyle w:val="ChartDuo"/>
        <w:tblW w:w="5000" w:type="pct"/>
        <w:tblBorders>
          <w:insideV w:val="none" w:sz="0" w:space="0" w:color="auto"/>
        </w:tblBorders>
        <w:tblLook w:val="0600" w:firstRow="0" w:lastRow="0" w:firstColumn="0" w:lastColumn="0" w:noHBand="1" w:noVBand="1"/>
      </w:tblPr>
      <w:tblGrid>
        <w:gridCol w:w="3572"/>
        <w:gridCol w:w="3572"/>
      </w:tblGrid>
      <w:tr w:rsidR="00154887" w14:paraId="487A8CD4" w14:textId="77777777" w:rsidTr="00DB34E9">
        <w:tc>
          <w:tcPr>
            <w:tcW w:w="2500" w:type="pct"/>
          </w:tcPr>
          <w:p w14:paraId="635D8506" w14:textId="77777777" w:rsidR="00154887" w:rsidRPr="00154887" w:rsidRDefault="00154887" w:rsidP="00154887">
            <w:pPr>
              <w:pStyle w:val="Tabletext"/>
              <w:rPr>
                <w:rStyle w:val="Duochart-informativetitle"/>
              </w:rPr>
            </w:pPr>
            <w:r>
              <w:rPr>
                <w:rStyle w:val="Duochart-informativetitle"/>
              </w:rPr>
              <w:t>a) Oil</w:t>
            </w:r>
          </w:p>
        </w:tc>
        <w:tc>
          <w:tcPr>
            <w:tcW w:w="2500" w:type="pct"/>
          </w:tcPr>
          <w:p w14:paraId="15C52DCB" w14:textId="77777777" w:rsidR="00154887" w:rsidRPr="00154887" w:rsidRDefault="00154887" w:rsidP="00154887">
            <w:pPr>
              <w:pStyle w:val="Box-Tabletext"/>
              <w:framePr w:wrap="notBeside"/>
              <w:rPr>
                <w:rStyle w:val="Duochart-informativetitle"/>
              </w:rPr>
            </w:pPr>
            <w:r>
              <w:rPr>
                <w:rStyle w:val="Duochart-informativetitle"/>
              </w:rPr>
              <w:t>b) Gas</w:t>
            </w:r>
          </w:p>
        </w:tc>
      </w:tr>
      <w:tr w:rsidR="00154887" w14:paraId="3C73447A" w14:textId="77777777" w:rsidTr="00DB34E9">
        <w:tc>
          <w:tcPr>
            <w:tcW w:w="2500" w:type="pct"/>
          </w:tcPr>
          <w:p w14:paraId="207970D1" w14:textId="77777777" w:rsidR="00154887" w:rsidRPr="00154887" w:rsidRDefault="00154887" w:rsidP="00154887">
            <w:pPr>
              <w:pStyle w:val="Tabletext"/>
            </w:pPr>
            <w:r w:rsidRPr="00C474AB">
              <w:t>(</w:t>
            </w:r>
            <w:r w:rsidRPr="00154887">
              <w:t>price level, USD/barrel)</w:t>
            </w:r>
          </w:p>
        </w:tc>
        <w:tc>
          <w:tcPr>
            <w:tcW w:w="2500" w:type="pct"/>
          </w:tcPr>
          <w:p w14:paraId="6DE9C68F" w14:textId="77777777" w:rsidR="00154887" w:rsidRPr="00154887" w:rsidRDefault="00154887" w:rsidP="00154887">
            <w:pPr>
              <w:pStyle w:val="Tabletext"/>
            </w:pPr>
            <w:r w:rsidRPr="00C474AB">
              <w:t>(</w:t>
            </w:r>
            <w:r w:rsidRPr="00154887">
              <w:t>price level, EUR/MWh)</w:t>
            </w:r>
          </w:p>
        </w:tc>
      </w:tr>
      <w:tr w:rsidR="00154887" w14:paraId="48A4EA2E" w14:textId="77777777" w:rsidTr="00DB34E9">
        <w:tc>
          <w:tcPr>
            <w:tcW w:w="2500" w:type="pct"/>
          </w:tcPr>
          <w:p w14:paraId="2D16BEC8" w14:textId="3416B060" w:rsidR="00154887" w:rsidRPr="00154887" w:rsidRDefault="00260DAB" w:rsidP="00154887">
            <w:pPr>
              <w:pStyle w:val="Tabletext"/>
            </w:pPr>
            <w:r>
              <w:rPr>
                <w:noProof/>
              </w:rPr>
              <w:drawing>
                <wp:inline distT="0" distB="0" distL="0" distR="0" wp14:anchorId="4F0A2CD7" wp14:editId="69B08622">
                  <wp:extent cx="2268220" cy="2524125"/>
                  <wp:effectExtent l="0" t="0" r="0" b="9525"/>
                  <wp:docPr id="86516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68220" cy="2524125"/>
                          </a:xfrm>
                          <a:prstGeom prst="rect">
                            <a:avLst/>
                          </a:prstGeom>
                          <a:noFill/>
                        </pic:spPr>
                      </pic:pic>
                    </a:graphicData>
                  </a:graphic>
                </wp:inline>
              </w:drawing>
            </w:r>
          </w:p>
        </w:tc>
        <w:tc>
          <w:tcPr>
            <w:tcW w:w="2500" w:type="pct"/>
          </w:tcPr>
          <w:p w14:paraId="5CA1DCEA" w14:textId="3037A222" w:rsidR="00154887" w:rsidRPr="00154887" w:rsidRDefault="00260DAB" w:rsidP="00154887">
            <w:pPr>
              <w:pStyle w:val="Tabletext"/>
            </w:pPr>
            <w:r>
              <w:rPr>
                <w:noProof/>
              </w:rPr>
              <w:drawing>
                <wp:inline distT="0" distB="0" distL="0" distR="0" wp14:anchorId="59E913CD" wp14:editId="100523B5">
                  <wp:extent cx="2268220" cy="2524125"/>
                  <wp:effectExtent l="0" t="0" r="0" b="9525"/>
                  <wp:docPr id="9888785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8220" cy="2524125"/>
                          </a:xfrm>
                          <a:prstGeom prst="rect">
                            <a:avLst/>
                          </a:prstGeom>
                          <a:noFill/>
                        </pic:spPr>
                      </pic:pic>
                    </a:graphicData>
                  </a:graphic>
                </wp:inline>
              </w:drawing>
            </w:r>
          </w:p>
        </w:tc>
      </w:tr>
    </w:tbl>
    <w:p w14:paraId="3DBD2A0B" w14:textId="0755B9AC" w:rsidR="00154887" w:rsidRDefault="00154887" w:rsidP="00AA40BC">
      <w:pPr>
        <w:pStyle w:val="Chartright-SourcesNotes"/>
      </w:pPr>
      <w:r w:rsidRPr="00B22F85">
        <w:t>Sources: ECB and ECB calculations</w:t>
      </w:r>
      <w:r>
        <w:t>.</w:t>
      </w:r>
      <w:r w:rsidR="00260DAB">
        <w:br/>
      </w:r>
      <w:r w:rsidRPr="00B22F85">
        <w:t>Notes: The oil price</w:t>
      </w:r>
      <w:r>
        <w:t xml:space="preserve"> </w:t>
      </w:r>
      <w:r w:rsidRPr="00B22F85">
        <w:t>scenario</w:t>
      </w:r>
      <w:r>
        <w:t xml:space="preserve">s are </w:t>
      </w:r>
      <w:r w:rsidRPr="00B22F85">
        <w:t>constructed based on the elasticity of the oil price to oil supply shocks as</w:t>
      </w:r>
      <w:r>
        <w:t xml:space="preserve"> </w:t>
      </w:r>
      <w:r w:rsidRPr="00B22F85">
        <w:t>estimated</w:t>
      </w:r>
      <w:r>
        <w:t xml:space="preserve"> </w:t>
      </w:r>
      <w:r w:rsidRPr="00B22F85">
        <w:t>in</w:t>
      </w:r>
      <w:r>
        <w:t xml:space="preserve"> </w:t>
      </w:r>
      <w:r w:rsidRPr="00B22F85">
        <w:t>Caldara</w:t>
      </w:r>
      <w:r>
        <w:t xml:space="preserve"> et al.</w:t>
      </w:r>
      <w:r w:rsidRPr="00B22F85">
        <w:t xml:space="preserve"> (2019)</w:t>
      </w:r>
      <w:r>
        <w:t xml:space="preserve">, </w:t>
      </w:r>
      <w:r w:rsidRPr="00B22F85">
        <w:t>while the</w:t>
      </w:r>
      <w:r>
        <w:t xml:space="preserve"> </w:t>
      </w:r>
      <w:r w:rsidRPr="00B22F85">
        <w:t>gas price</w:t>
      </w:r>
      <w:r>
        <w:t xml:space="preserve"> </w:t>
      </w:r>
      <w:r w:rsidRPr="00B22F85">
        <w:t>scenario</w:t>
      </w:r>
      <w:r>
        <w:t>s</w:t>
      </w:r>
      <w:r w:rsidRPr="00B22F85">
        <w:t xml:space="preserve"> </w:t>
      </w:r>
      <w:r>
        <w:t>are</w:t>
      </w:r>
      <w:r w:rsidRPr="00B22F85">
        <w:t xml:space="preserve"> constructed</w:t>
      </w:r>
      <w:r>
        <w:t xml:space="preserve"> </w:t>
      </w:r>
      <w:r w:rsidRPr="00B22F85">
        <w:t>based on</w:t>
      </w:r>
      <w:r>
        <w:t xml:space="preserve"> </w:t>
      </w:r>
      <w:r w:rsidRPr="00B22F85">
        <w:t>the elasticity of the gas price to gas supply shocks as</w:t>
      </w:r>
      <w:r>
        <w:t xml:space="preserve"> </w:t>
      </w:r>
      <w:r w:rsidRPr="00B22F85">
        <w:t>estimated</w:t>
      </w:r>
      <w:r>
        <w:t xml:space="preserve"> </w:t>
      </w:r>
      <w:r w:rsidRPr="00B22F85">
        <w:t>in</w:t>
      </w:r>
      <w:r>
        <w:t xml:space="preserve"> </w:t>
      </w:r>
      <w:proofErr w:type="spellStart"/>
      <w:r w:rsidRPr="00B22F85">
        <w:t>Albrizio</w:t>
      </w:r>
      <w:proofErr w:type="spellEnd"/>
      <w:r>
        <w:t xml:space="preserve"> </w:t>
      </w:r>
      <w:r w:rsidRPr="00B22F85">
        <w:t>et al. (2023).</w:t>
      </w:r>
      <w:r>
        <w:t xml:space="preserve"> </w:t>
      </w:r>
      <w:r w:rsidRPr="008740DC">
        <w:t xml:space="preserve">The 95th and 75th percentiles refer to the option-implied neutral densities for the oil and gas prices on </w:t>
      </w:r>
      <w:r>
        <w:t xml:space="preserve">11 March 2026. </w:t>
      </w:r>
    </w:p>
    <w:p w14:paraId="65DDF1E3" w14:textId="5D5FFF7D" w:rsidR="002C51C9" w:rsidRPr="00821B34" w:rsidRDefault="002C51C9" w:rsidP="002C51C9">
      <w:pPr>
        <w:pStyle w:val="Chartright-Heading"/>
        <w:rPr>
          <w:rStyle w:val="IntenseEmphasis"/>
        </w:rPr>
      </w:pPr>
      <w:r w:rsidRPr="00C565B1">
        <w:rPr>
          <w:rStyle w:val="IntenseEmphasis"/>
        </w:rPr>
        <w:t xml:space="preserve">Table </w:t>
      </w:r>
      <w:r w:rsidRPr="00C565B1">
        <w:rPr>
          <w:rStyle w:val="IntenseEmphasis"/>
        </w:rPr>
        <w:fldChar w:fldCharType="begin"/>
      </w:r>
      <w:r w:rsidRPr="00C565B1">
        <w:rPr>
          <w:rStyle w:val="IntenseEmphasis"/>
        </w:rPr>
        <w:instrText xml:space="preserve"> SEQ Table \* ARABIC </w:instrText>
      </w:r>
      <w:r w:rsidRPr="00C565B1">
        <w:rPr>
          <w:rStyle w:val="IntenseEmphasis"/>
        </w:rPr>
        <w:fldChar w:fldCharType="separate"/>
      </w:r>
      <w:r w:rsidR="004D705B">
        <w:rPr>
          <w:rStyle w:val="IntenseEmphasis"/>
          <w:noProof/>
        </w:rPr>
        <w:t>5</w:t>
      </w:r>
      <w:r w:rsidRPr="00C565B1">
        <w:rPr>
          <w:rStyle w:val="IntenseEmphasis"/>
        </w:rPr>
        <w:fldChar w:fldCharType="end"/>
      </w:r>
    </w:p>
    <w:p w14:paraId="0F14F1EF" w14:textId="77777777" w:rsidR="00154887" w:rsidRDefault="00154887" w:rsidP="001E7BBD">
      <w:pPr>
        <w:pStyle w:val="Chartright-Heading"/>
      </w:pPr>
      <w:r>
        <w:t>Energy commodity price scenarios – levels and deviations from the baseline</w:t>
      </w:r>
    </w:p>
    <w:tbl>
      <w:tblPr>
        <w:tblStyle w:val="Tablecentrealigned"/>
        <w:tblpPr w:leftFromText="180" w:rightFromText="180" w:vertAnchor="text" w:horzAnchor="margin" w:tblpY="64"/>
        <w:tblW w:w="0" w:type="auto"/>
        <w:tblLayout w:type="fixed"/>
        <w:tblLook w:val="02A0" w:firstRow="1" w:lastRow="0" w:firstColumn="1" w:lastColumn="0" w:noHBand="1" w:noVBand="0"/>
      </w:tblPr>
      <w:tblGrid>
        <w:gridCol w:w="851"/>
        <w:gridCol w:w="992"/>
        <w:gridCol w:w="1325"/>
        <w:gridCol w:w="1325"/>
        <w:gridCol w:w="1325"/>
        <w:gridCol w:w="1326"/>
      </w:tblGrid>
      <w:tr w:rsidR="00154887" w:rsidRPr="00F545D1" w:rsidDel="003A42E6" w14:paraId="765DD0D4" w14:textId="77777777" w:rsidTr="00D70CAA">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51" w:type="dxa"/>
            <w:hideMark/>
          </w:tcPr>
          <w:p w14:paraId="31920FA7" w14:textId="77777777" w:rsidR="00154887" w:rsidRPr="00154887" w:rsidDel="003A42E6" w:rsidRDefault="00154887" w:rsidP="00154887">
            <w:pPr>
              <w:pStyle w:val="Tabletext"/>
            </w:pPr>
            <w:r w:rsidRPr="001020F8">
              <w:t>Scenario</w:t>
            </w:r>
          </w:p>
        </w:tc>
        <w:tc>
          <w:tcPr>
            <w:cnfStyle w:val="000010000000" w:firstRow="0" w:lastRow="0" w:firstColumn="0" w:lastColumn="0" w:oddVBand="1" w:evenVBand="0" w:oddHBand="0" w:evenHBand="0" w:firstRowFirstColumn="0" w:firstRowLastColumn="0" w:lastRowFirstColumn="0" w:lastRowLastColumn="0"/>
            <w:tcW w:w="992" w:type="dxa"/>
          </w:tcPr>
          <w:p w14:paraId="4B6F4B7D" w14:textId="77777777" w:rsidR="00154887" w:rsidRPr="001020F8" w:rsidDel="003A42E6" w:rsidRDefault="00154887" w:rsidP="00154887">
            <w:pPr>
              <w:pStyle w:val="Tabletext"/>
            </w:pPr>
          </w:p>
        </w:tc>
        <w:tc>
          <w:tcPr>
            <w:cnfStyle w:val="000001000000" w:firstRow="0" w:lastRow="0" w:firstColumn="0" w:lastColumn="0" w:oddVBand="0" w:evenVBand="1" w:oddHBand="0" w:evenHBand="0" w:firstRowFirstColumn="0" w:firstRowLastColumn="0" w:lastRowFirstColumn="0" w:lastRowLastColumn="0"/>
            <w:tcW w:w="1325" w:type="dxa"/>
            <w:noWrap/>
            <w:hideMark/>
          </w:tcPr>
          <w:p w14:paraId="07AFE1BD" w14:textId="77777777" w:rsidR="00154887" w:rsidRPr="00154887" w:rsidDel="003A42E6" w:rsidRDefault="00154887" w:rsidP="00154887">
            <w:r w:rsidRPr="0094415C">
              <w:t>Q2 2026 (USD/b</w:t>
            </w:r>
            <w:r w:rsidRPr="00154887">
              <w:t>arrel or EUR/MWh)</w:t>
            </w:r>
          </w:p>
        </w:tc>
        <w:tc>
          <w:tcPr>
            <w:cnfStyle w:val="000010000000" w:firstRow="0" w:lastRow="0" w:firstColumn="0" w:lastColumn="0" w:oddVBand="1" w:evenVBand="0" w:oddHBand="0" w:evenHBand="0" w:firstRowFirstColumn="0" w:firstRowLastColumn="0" w:lastRowFirstColumn="0" w:lastRowLastColumn="0"/>
            <w:tcW w:w="1325" w:type="dxa"/>
            <w:noWrap/>
            <w:hideMark/>
          </w:tcPr>
          <w:p w14:paraId="0173D5A6" w14:textId="77777777" w:rsidR="00154887" w:rsidRPr="00154887" w:rsidDel="003A42E6" w:rsidRDefault="00154887" w:rsidP="00154887">
            <w:r w:rsidRPr="0094415C">
              <w:t>Q2 2026 (</w:t>
            </w:r>
            <w:r w:rsidRPr="00154887">
              <w:t>% deviation from baseline)</w:t>
            </w:r>
          </w:p>
        </w:tc>
        <w:tc>
          <w:tcPr>
            <w:cnfStyle w:val="000001000000" w:firstRow="0" w:lastRow="0" w:firstColumn="0" w:lastColumn="0" w:oddVBand="0" w:evenVBand="1" w:oddHBand="0" w:evenHBand="0" w:firstRowFirstColumn="0" w:firstRowLastColumn="0" w:lastRowFirstColumn="0" w:lastRowLastColumn="0"/>
            <w:tcW w:w="1325" w:type="dxa"/>
            <w:noWrap/>
            <w:hideMark/>
          </w:tcPr>
          <w:p w14:paraId="53D7E771" w14:textId="77777777" w:rsidR="00154887" w:rsidRPr="00154887" w:rsidDel="003A42E6" w:rsidRDefault="00154887" w:rsidP="00154887">
            <w:r w:rsidRPr="001E1610">
              <w:t>Q4 2028 (USD/b</w:t>
            </w:r>
            <w:r w:rsidRPr="00154887">
              <w:t>arrel or EUR/MWh)</w:t>
            </w:r>
          </w:p>
        </w:tc>
        <w:tc>
          <w:tcPr>
            <w:cnfStyle w:val="000010000000" w:firstRow="0" w:lastRow="0" w:firstColumn="0" w:lastColumn="0" w:oddVBand="1" w:evenVBand="0" w:oddHBand="0" w:evenHBand="0" w:firstRowFirstColumn="0" w:firstRowLastColumn="0" w:lastRowFirstColumn="0" w:lastRowLastColumn="0"/>
            <w:tcW w:w="1326" w:type="dxa"/>
            <w:noWrap/>
            <w:hideMark/>
          </w:tcPr>
          <w:p w14:paraId="1CD6C55A" w14:textId="77777777" w:rsidR="00154887" w:rsidRPr="00154887" w:rsidDel="003A42E6" w:rsidRDefault="00154887" w:rsidP="00154887">
            <w:r w:rsidRPr="00FC0D98">
              <w:t>Q4 2028 (</w:t>
            </w:r>
            <w:r w:rsidRPr="00154887">
              <w:t>% deviation from baseline)</w:t>
            </w:r>
          </w:p>
        </w:tc>
      </w:tr>
      <w:tr w:rsidR="00154887" w:rsidRPr="00F545D1" w:rsidDel="003A42E6" w14:paraId="653F74DB" w14:textId="77777777" w:rsidTr="00D70CAA">
        <w:trPr>
          <w:trHeight w:val="303"/>
        </w:trPr>
        <w:tc>
          <w:tcPr>
            <w:cnfStyle w:val="001000000000" w:firstRow="0" w:lastRow="0" w:firstColumn="1" w:lastColumn="0" w:oddVBand="0" w:evenVBand="0" w:oddHBand="0" w:evenHBand="0" w:firstRowFirstColumn="0" w:firstRowLastColumn="0" w:lastRowFirstColumn="0" w:lastRowLastColumn="0"/>
            <w:tcW w:w="851" w:type="dxa"/>
            <w:vMerge w:val="restart"/>
            <w:hideMark/>
          </w:tcPr>
          <w:p w14:paraId="08214BA1" w14:textId="77777777" w:rsidR="00154887" w:rsidRPr="00154887" w:rsidDel="003A42E6" w:rsidRDefault="00154887" w:rsidP="00154887">
            <w:pPr>
              <w:pStyle w:val="Tabletext"/>
            </w:pPr>
            <w:r w:rsidRPr="002542CB">
              <w:t>Adverse</w:t>
            </w:r>
          </w:p>
        </w:tc>
        <w:tc>
          <w:tcPr>
            <w:cnfStyle w:val="000010000000" w:firstRow="0" w:lastRow="0" w:firstColumn="0" w:lastColumn="0" w:oddVBand="1" w:evenVBand="0" w:oddHBand="0" w:evenHBand="0" w:firstRowFirstColumn="0" w:firstRowLastColumn="0" w:lastRowFirstColumn="0" w:lastRowLastColumn="0"/>
            <w:tcW w:w="992" w:type="dxa"/>
          </w:tcPr>
          <w:p w14:paraId="005F27A6" w14:textId="77777777" w:rsidR="00154887" w:rsidRPr="00154887" w:rsidDel="003A42E6" w:rsidRDefault="00154887" w:rsidP="00154887">
            <w:pPr>
              <w:pStyle w:val="Tabletext"/>
            </w:pPr>
            <w:r>
              <w:t>Oil prices</w:t>
            </w:r>
          </w:p>
        </w:tc>
        <w:tc>
          <w:tcPr>
            <w:cnfStyle w:val="000001000000" w:firstRow="0" w:lastRow="0" w:firstColumn="0" w:lastColumn="0" w:oddVBand="0" w:evenVBand="1" w:oddHBand="0" w:evenHBand="0" w:firstRowFirstColumn="0" w:firstRowLastColumn="0" w:lastRowFirstColumn="0" w:lastRowLastColumn="0"/>
            <w:tcW w:w="1325" w:type="dxa"/>
          </w:tcPr>
          <w:p w14:paraId="5D80BBB5" w14:textId="77777777" w:rsidR="00154887" w:rsidRPr="00154887" w:rsidDel="003A42E6" w:rsidRDefault="00154887" w:rsidP="00154887">
            <w:pPr>
              <w:pStyle w:val="Tabletext"/>
            </w:pPr>
            <w:r>
              <w:t>119</w:t>
            </w:r>
          </w:p>
        </w:tc>
        <w:tc>
          <w:tcPr>
            <w:cnfStyle w:val="000010000000" w:firstRow="0" w:lastRow="0" w:firstColumn="0" w:lastColumn="0" w:oddVBand="1" w:evenVBand="0" w:oddHBand="0" w:evenHBand="0" w:firstRowFirstColumn="0" w:firstRowLastColumn="0" w:lastRowFirstColumn="0" w:lastRowLastColumn="0"/>
            <w:tcW w:w="1325" w:type="dxa"/>
          </w:tcPr>
          <w:p w14:paraId="2EADF5A2" w14:textId="77777777" w:rsidR="00154887" w:rsidRPr="00154887" w:rsidDel="003A42E6" w:rsidRDefault="00154887" w:rsidP="00154887">
            <w:pPr>
              <w:pStyle w:val="Tabletext"/>
            </w:pPr>
            <w:r>
              <w:t>33%</w:t>
            </w:r>
          </w:p>
        </w:tc>
        <w:tc>
          <w:tcPr>
            <w:cnfStyle w:val="000001000000" w:firstRow="0" w:lastRow="0" w:firstColumn="0" w:lastColumn="0" w:oddVBand="0" w:evenVBand="1" w:oddHBand="0" w:evenHBand="0" w:firstRowFirstColumn="0" w:firstRowLastColumn="0" w:lastRowFirstColumn="0" w:lastRowLastColumn="0"/>
            <w:tcW w:w="1325" w:type="dxa"/>
          </w:tcPr>
          <w:p w14:paraId="62B518C6" w14:textId="77777777" w:rsidR="00154887" w:rsidRPr="00154887" w:rsidDel="003A42E6" w:rsidRDefault="00154887" w:rsidP="00154887">
            <w:pPr>
              <w:pStyle w:val="Tabletext"/>
            </w:pPr>
            <w:r>
              <w:t>70</w:t>
            </w:r>
          </w:p>
        </w:tc>
        <w:tc>
          <w:tcPr>
            <w:cnfStyle w:val="000010000000" w:firstRow="0" w:lastRow="0" w:firstColumn="0" w:lastColumn="0" w:oddVBand="1" w:evenVBand="0" w:oddHBand="0" w:evenHBand="0" w:firstRowFirstColumn="0" w:firstRowLastColumn="0" w:lastRowFirstColumn="0" w:lastRowLastColumn="0"/>
            <w:tcW w:w="1326" w:type="dxa"/>
            <w:hideMark/>
          </w:tcPr>
          <w:p w14:paraId="5884445C" w14:textId="77777777" w:rsidR="00154887" w:rsidRPr="00154887" w:rsidDel="003A42E6" w:rsidRDefault="00154887" w:rsidP="00154887">
            <w:pPr>
              <w:pStyle w:val="Tabletext"/>
            </w:pPr>
            <w:r>
              <w:t>0%</w:t>
            </w:r>
          </w:p>
        </w:tc>
      </w:tr>
      <w:tr w:rsidR="00154887" w:rsidRPr="00F545D1" w:rsidDel="003A42E6" w14:paraId="3E4CA74F" w14:textId="77777777" w:rsidTr="00D70CAA">
        <w:trPr>
          <w:trHeight w:val="303"/>
        </w:trPr>
        <w:tc>
          <w:tcPr>
            <w:cnfStyle w:val="001000000000" w:firstRow="0" w:lastRow="0" w:firstColumn="1" w:lastColumn="0" w:oddVBand="0" w:evenVBand="0" w:oddHBand="0" w:evenHBand="0" w:firstRowFirstColumn="0" w:firstRowLastColumn="0" w:lastRowFirstColumn="0" w:lastRowLastColumn="0"/>
            <w:tcW w:w="851" w:type="dxa"/>
            <w:vMerge/>
            <w:hideMark/>
          </w:tcPr>
          <w:p w14:paraId="4E72E3ED" w14:textId="77777777" w:rsidR="00154887" w:rsidRPr="002542CB" w:rsidDel="003A42E6" w:rsidRDefault="00154887" w:rsidP="00154887">
            <w:pPr>
              <w:pStyle w:val="Tabletext"/>
            </w:pPr>
          </w:p>
        </w:tc>
        <w:tc>
          <w:tcPr>
            <w:cnfStyle w:val="000010000000" w:firstRow="0" w:lastRow="0" w:firstColumn="0" w:lastColumn="0" w:oddVBand="1" w:evenVBand="0" w:oddHBand="0" w:evenHBand="0" w:firstRowFirstColumn="0" w:firstRowLastColumn="0" w:lastRowFirstColumn="0" w:lastRowLastColumn="0"/>
            <w:tcW w:w="992" w:type="dxa"/>
          </w:tcPr>
          <w:p w14:paraId="289EEA4B" w14:textId="77777777" w:rsidR="00154887" w:rsidRPr="00154887" w:rsidDel="003A42E6" w:rsidRDefault="00154887" w:rsidP="00154887">
            <w:pPr>
              <w:pStyle w:val="Tabletext"/>
            </w:pPr>
            <w:r>
              <w:t>Gas prices</w:t>
            </w:r>
          </w:p>
        </w:tc>
        <w:tc>
          <w:tcPr>
            <w:cnfStyle w:val="000001000000" w:firstRow="0" w:lastRow="0" w:firstColumn="0" w:lastColumn="0" w:oddVBand="0" w:evenVBand="1" w:oddHBand="0" w:evenHBand="0" w:firstRowFirstColumn="0" w:firstRowLastColumn="0" w:lastRowFirstColumn="0" w:lastRowLastColumn="0"/>
            <w:tcW w:w="1325" w:type="dxa"/>
          </w:tcPr>
          <w:p w14:paraId="738F0800" w14:textId="77777777" w:rsidR="00154887" w:rsidRPr="00154887" w:rsidDel="003A42E6" w:rsidRDefault="00154887" w:rsidP="00154887">
            <w:pPr>
              <w:pStyle w:val="Tabletext"/>
            </w:pPr>
            <w:r>
              <w:t>87</w:t>
            </w:r>
          </w:p>
        </w:tc>
        <w:tc>
          <w:tcPr>
            <w:cnfStyle w:val="000010000000" w:firstRow="0" w:lastRow="0" w:firstColumn="0" w:lastColumn="0" w:oddVBand="1" w:evenVBand="0" w:oddHBand="0" w:evenHBand="0" w:firstRowFirstColumn="0" w:firstRowLastColumn="0" w:lastRowFirstColumn="0" w:lastRowLastColumn="0"/>
            <w:tcW w:w="1325" w:type="dxa"/>
          </w:tcPr>
          <w:p w14:paraId="5132D026" w14:textId="77777777" w:rsidR="00154887" w:rsidRPr="00154887" w:rsidDel="003A42E6" w:rsidRDefault="00154887" w:rsidP="00154887">
            <w:pPr>
              <w:pStyle w:val="Tabletext"/>
            </w:pPr>
            <w:r>
              <w:t>73%</w:t>
            </w:r>
          </w:p>
        </w:tc>
        <w:tc>
          <w:tcPr>
            <w:cnfStyle w:val="000001000000" w:firstRow="0" w:lastRow="0" w:firstColumn="0" w:lastColumn="0" w:oddVBand="0" w:evenVBand="1" w:oddHBand="0" w:evenHBand="0" w:firstRowFirstColumn="0" w:firstRowLastColumn="0" w:lastRowFirstColumn="0" w:lastRowLastColumn="0"/>
            <w:tcW w:w="1325" w:type="dxa"/>
          </w:tcPr>
          <w:p w14:paraId="25682E3A" w14:textId="77777777" w:rsidR="00154887" w:rsidRPr="00154887" w:rsidDel="003A42E6" w:rsidRDefault="00154887" w:rsidP="00154887">
            <w:pPr>
              <w:pStyle w:val="Tabletext"/>
            </w:pPr>
            <w:r>
              <w:t>24</w:t>
            </w:r>
          </w:p>
        </w:tc>
        <w:tc>
          <w:tcPr>
            <w:cnfStyle w:val="000010000000" w:firstRow="0" w:lastRow="0" w:firstColumn="0" w:lastColumn="0" w:oddVBand="1" w:evenVBand="0" w:oddHBand="0" w:evenHBand="0" w:firstRowFirstColumn="0" w:firstRowLastColumn="0" w:lastRowFirstColumn="0" w:lastRowLastColumn="0"/>
            <w:tcW w:w="1326" w:type="dxa"/>
            <w:hideMark/>
          </w:tcPr>
          <w:p w14:paraId="28C23A8B" w14:textId="77777777" w:rsidR="00154887" w:rsidRPr="00154887" w:rsidDel="003A42E6" w:rsidRDefault="00154887" w:rsidP="00154887">
            <w:pPr>
              <w:pStyle w:val="Tabletext"/>
            </w:pPr>
            <w:r>
              <w:t>0%</w:t>
            </w:r>
          </w:p>
        </w:tc>
      </w:tr>
      <w:tr w:rsidR="00154887" w:rsidRPr="00F545D1" w:rsidDel="003A42E6" w14:paraId="2822E226" w14:textId="77777777" w:rsidTr="00D70CAA">
        <w:trPr>
          <w:trHeight w:val="303"/>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1DBB601C" w14:textId="77777777" w:rsidR="00154887" w:rsidRPr="00154887" w:rsidDel="003A42E6" w:rsidRDefault="00154887" w:rsidP="00154887">
            <w:pPr>
              <w:pStyle w:val="Tabletext"/>
            </w:pPr>
            <w:r w:rsidRPr="002542CB">
              <w:t>S</w:t>
            </w:r>
            <w:r w:rsidRPr="00154887" w:rsidDel="003A42E6">
              <w:t>evere</w:t>
            </w:r>
          </w:p>
        </w:tc>
        <w:tc>
          <w:tcPr>
            <w:cnfStyle w:val="000010000000" w:firstRow="0" w:lastRow="0" w:firstColumn="0" w:lastColumn="0" w:oddVBand="1" w:evenVBand="0" w:oddHBand="0" w:evenHBand="0" w:firstRowFirstColumn="0" w:firstRowLastColumn="0" w:lastRowFirstColumn="0" w:lastRowLastColumn="0"/>
            <w:tcW w:w="992" w:type="dxa"/>
          </w:tcPr>
          <w:p w14:paraId="3862E6EB" w14:textId="77777777" w:rsidR="00154887" w:rsidRPr="00154887" w:rsidDel="003A42E6" w:rsidRDefault="00154887" w:rsidP="00154887">
            <w:pPr>
              <w:pStyle w:val="Tabletext"/>
            </w:pPr>
            <w:r>
              <w:t>Oil prices</w:t>
            </w:r>
          </w:p>
        </w:tc>
        <w:tc>
          <w:tcPr>
            <w:cnfStyle w:val="000001000000" w:firstRow="0" w:lastRow="0" w:firstColumn="0" w:lastColumn="0" w:oddVBand="0" w:evenVBand="1" w:oddHBand="0" w:evenHBand="0" w:firstRowFirstColumn="0" w:firstRowLastColumn="0" w:lastRowFirstColumn="0" w:lastRowLastColumn="0"/>
            <w:tcW w:w="1325" w:type="dxa"/>
          </w:tcPr>
          <w:p w14:paraId="4541898E" w14:textId="77777777" w:rsidR="00154887" w:rsidRPr="00154887" w:rsidDel="003A42E6" w:rsidRDefault="00154887" w:rsidP="00154887">
            <w:pPr>
              <w:pStyle w:val="Tabletext"/>
            </w:pPr>
            <w:r>
              <w:t>145</w:t>
            </w:r>
          </w:p>
        </w:tc>
        <w:tc>
          <w:tcPr>
            <w:cnfStyle w:val="000010000000" w:firstRow="0" w:lastRow="0" w:firstColumn="0" w:lastColumn="0" w:oddVBand="1" w:evenVBand="0" w:oddHBand="0" w:evenHBand="0" w:firstRowFirstColumn="0" w:firstRowLastColumn="0" w:lastRowFirstColumn="0" w:lastRowLastColumn="0"/>
            <w:tcW w:w="1325" w:type="dxa"/>
          </w:tcPr>
          <w:p w14:paraId="7E46F1A9" w14:textId="77777777" w:rsidR="00154887" w:rsidRPr="00154887" w:rsidDel="003A42E6" w:rsidRDefault="00154887" w:rsidP="00154887">
            <w:pPr>
              <w:pStyle w:val="Tabletext"/>
            </w:pPr>
            <w:r>
              <w:t>62%</w:t>
            </w:r>
          </w:p>
        </w:tc>
        <w:tc>
          <w:tcPr>
            <w:cnfStyle w:val="000001000000" w:firstRow="0" w:lastRow="0" w:firstColumn="0" w:lastColumn="0" w:oddVBand="0" w:evenVBand="1" w:oddHBand="0" w:evenHBand="0" w:firstRowFirstColumn="0" w:firstRowLastColumn="0" w:lastRowFirstColumn="0" w:lastRowLastColumn="0"/>
            <w:tcW w:w="1325" w:type="dxa"/>
          </w:tcPr>
          <w:p w14:paraId="02B1E1E0" w14:textId="77777777" w:rsidR="00154887" w:rsidRPr="00154887" w:rsidDel="003A42E6" w:rsidRDefault="00154887" w:rsidP="00154887">
            <w:pPr>
              <w:pStyle w:val="Tabletext"/>
            </w:pPr>
            <w:r>
              <w:t>103</w:t>
            </w:r>
          </w:p>
        </w:tc>
        <w:tc>
          <w:tcPr>
            <w:cnfStyle w:val="000010000000" w:firstRow="0" w:lastRow="0" w:firstColumn="0" w:lastColumn="0" w:oddVBand="1" w:evenVBand="0" w:oddHBand="0" w:evenHBand="0" w:firstRowFirstColumn="0" w:firstRowLastColumn="0" w:lastRowFirstColumn="0" w:lastRowLastColumn="0"/>
            <w:tcW w:w="1326" w:type="dxa"/>
          </w:tcPr>
          <w:p w14:paraId="7D32FD0D" w14:textId="77777777" w:rsidR="00154887" w:rsidRPr="00154887" w:rsidDel="003A42E6" w:rsidRDefault="00154887" w:rsidP="00154887">
            <w:pPr>
              <w:pStyle w:val="Tabletext"/>
            </w:pPr>
            <w:r>
              <w:t>47%</w:t>
            </w:r>
          </w:p>
        </w:tc>
      </w:tr>
      <w:tr w:rsidR="00154887" w:rsidRPr="00F545D1" w:rsidDel="003A42E6" w14:paraId="19C36ED2" w14:textId="77777777" w:rsidTr="00D70CAA">
        <w:trPr>
          <w:trHeight w:val="303"/>
        </w:trPr>
        <w:tc>
          <w:tcPr>
            <w:cnfStyle w:val="001000000000" w:firstRow="0" w:lastRow="0" w:firstColumn="1" w:lastColumn="0" w:oddVBand="0" w:evenVBand="0" w:oddHBand="0" w:evenHBand="0" w:firstRowFirstColumn="0" w:firstRowLastColumn="0" w:lastRowFirstColumn="0" w:lastRowLastColumn="0"/>
            <w:tcW w:w="851" w:type="dxa"/>
            <w:vMerge/>
          </w:tcPr>
          <w:p w14:paraId="5D4A911D" w14:textId="77777777" w:rsidR="00154887" w:rsidRPr="002542CB" w:rsidDel="003A42E6" w:rsidRDefault="00154887" w:rsidP="00154887">
            <w:pPr>
              <w:pStyle w:val="Tabletext"/>
            </w:pPr>
          </w:p>
        </w:tc>
        <w:tc>
          <w:tcPr>
            <w:cnfStyle w:val="000010000000" w:firstRow="0" w:lastRow="0" w:firstColumn="0" w:lastColumn="0" w:oddVBand="1" w:evenVBand="0" w:oddHBand="0" w:evenHBand="0" w:firstRowFirstColumn="0" w:firstRowLastColumn="0" w:lastRowFirstColumn="0" w:lastRowLastColumn="0"/>
            <w:tcW w:w="992" w:type="dxa"/>
          </w:tcPr>
          <w:p w14:paraId="10ADE00D" w14:textId="77777777" w:rsidR="00154887" w:rsidRPr="00154887" w:rsidDel="003A42E6" w:rsidRDefault="00154887" w:rsidP="00154887">
            <w:pPr>
              <w:pStyle w:val="Tabletext"/>
            </w:pPr>
            <w:r>
              <w:t>Gas prices</w:t>
            </w:r>
          </w:p>
        </w:tc>
        <w:tc>
          <w:tcPr>
            <w:cnfStyle w:val="000001000000" w:firstRow="0" w:lastRow="0" w:firstColumn="0" w:lastColumn="0" w:oddVBand="0" w:evenVBand="1" w:oddHBand="0" w:evenHBand="0" w:firstRowFirstColumn="0" w:firstRowLastColumn="0" w:lastRowFirstColumn="0" w:lastRowLastColumn="0"/>
            <w:tcW w:w="1325" w:type="dxa"/>
          </w:tcPr>
          <w:p w14:paraId="79791661" w14:textId="77777777" w:rsidR="00154887" w:rsidRPr="00154887" w:rsidDel="003A42E6" w:rsidRDefault="00154887" w:rsidP="00154887">
            <w:pPr>
              <w:pStyle w:val="Tabletext"/>
            </w:pPr>
            <w:r>
              <w:t>106</w:t>
            </w:r>
          </w:p>
        </w:tc>
        <w:tc>
          <w:tcPr>
            <w:cnfStyle w:val="000010000000" w:firstRow="0" w:lastRow="0" w:firstColumn="0" w:lastColumn="0" w:oddVBand="1" w:evenVBand="0" w:oddHBand="0" w:evenHBand="0" w:firstRowFirstColumn="0" w:firstRowLastColumn="0" w:lastRowFirstColumn="0" w:lastRowLastColumn="0"/>
            <w:tcW w:w="1325" w:type="dxa"/>
          </w:tcPr>
          <w:p w14:paraId="355C8844" w14:textId="77777777" w:rsidR="00154887" w:rsidRPr="00154887" w:rsidDel="003A42E6" w:rsidRDefault="00154887" w:rsidP="00154887">
            <w:pPr>
              <w:pStyle w:val="Tabletext"/>
            </w:pPr>
            <w:r>
              <w:t>109%</w:t>
            </w:r>
          </w:p>
        </w:tc>
        <w:tc>
          <w:tcPr>
            <w:cnfStyle w:val="000001000000" w:firstRow="0" w:lastRow="0" w:firstColumn="0" w:lastColumn="0" w:oddVBand="0" w:evenVBand="1" w:oddHBand="0" w:evenHBand="0" w:firstRowFirstColumn="0" w:firstRowLastColumn="0" w:lastRowFirstColumn="0" w:lastRowLastColumn="0"/>
            <w:tcW w:w="1325" w:type="dxa"/>
          </w:tcPr>
          <w:p w14:paraId="39E46A73" w14:textId="77777777" w:rsidR="00154887" w:rsidRPr="00154887" w:rsidDel="003A42E6" w:rsidRDefault="00154887" w:rsidP="00154887">
            <w:pPr>
              <w:pStyle w:val="Tabletext"/>
            </w:pPr>
            <w:r>
              <w:t>43</w:t>
            </w:r>
          </w:p>
        </w:tc>
        <w:tc>
          <w:tcPr>
            <w:cnfStyle w:val="000010000000" w:firstRow="0" w:lastRow="0" w:firstColumn="0" w:lastColumn="0" w:oddVBand="1" w:evenVBand="0" w:oddHBand="0" w:evenHBand="0" w:firstRowFirstColumn="0" w:firstRowLastColumn="0" w:lastRowFirstColumn="0" w:lastRowLastColumn="0"/>
            <w:tcW w:w="1326" w:type="dxa"/>
          </w:tcPr>
          <w:p w14:paraId="0AD49E24" w14:textId="77777777" w:rsidR="00154887" w:rsidRPr="00154887" w:rsidDel="003A42E6" w:rsidRDefault="00154887" w:rsidP="00154887">
            <w:pPr>
              <w:pStyle w:val="Tabletext"/>
            </w:pPr>
            <w:r>
              <w:t>77%</w:t>
            </w:r>
          </w:p>
        </w:tc>
      </w:tr>
    </w:tbl>
    <w:p w14:paraId="797F3A6A" w14:textId="77777777" w:rsidR="00154887" w:rsidRDefault="00154887" w:rsidP="008D7AF3">
      <w:pPr>
        <w:pStyle w:val="Chartright-SourcesNotes"/>
      </w:pPr>
      <w:r w:rsidRPr="00B22F85">
        <w:t>Sources: ECB and ECB calculations</w:t>
      </w:r>
      <w:r>
        <w:t xml:space="preserve">. </w:t>
      </w:r>
      <w:r>
        <w:br/>
        <w:t xml:space="preserve">Notes: </w:t>
      </w:r>
      <w:r w:rsidRPr="00B22F85">
        <w:t>The oil price</w:t>
      </w:r>
      <w:r w:rsidRPr="0029036C">
        <w:t xml:space="preserve"> scenarios are </w:t>
      </w:r>
      <w:r w:rsidRPr="00B22F85">
        <w:t>constructed based on the elasticity of the oil price to oil supply shocks as</w:t>
      </w:r>
      <w:r w:rsidRPr="0029036C">
        <w:t xml:space="preserve"> </w:t>
      </w:r>
      <w:r w:rsidRPr="00B22F85">
        <w:t>estimated</w:t>
      </w:r>
      <w:r w:rsidRPr="0029036C">
        <w:t xml:space="preserve"> </w:t>
      </w:r>
      <w:r w:rsidRPr="00B22F85">
        <w:t>in</w:t>
      </w:r>
      <w:r w:rsidRPr="0029036C">
        <w:t xml:space="preserve"> </w:t>
      </w:r>
      <w:r w:rsidRPr="00B22F85">
        <w:t>Caldara</w:t>
      </w:r>
      <w:r>
        <w:t xml:space="preserve"> et al.</w:t>
      </w:r>
      <w:r w:rsidRPr="00B22F85">
        <w:t xml:space="preserve"> (2019)</w:t>
      </w:r>
      <w:r>
        <w:t>,</w:t>
      </w:r>
      <w:r w:rsidRPr="0029036C">
        <w:t xml:space="preserve"> </w:t>
      </w:r>
      <w:r w:rsidRPr="00B22F85">
        <w:t>while the</w:t>
      </w:r>
      <w:r w:rsidRPr="0029036C">
        <w:t xml:space="preserve"> </w:t>
      </w:r>
      <w:r w:rsidRPr="00B22F85">
        <w:t>gas price</w:t>
      </w:r>
      <w:r w:rsidRPr="0029036C">
        <w:t xml:space="preserve"> </w:t>
      </w:r>
      <w:r w:rsidRPr="00B22F85">
        <w:t>scenario</w:t>
      </w:r>
      <w:r>
        <w:t>s</w:t>
      </w:r>
      <w:r w:rsidRPr="00B22F85">
        <w:t xml:space="preserve"> </w:t>
      </w:r>
      <w:r>
        <w:t>are</w:t>
      </w:r>
      <w:r w:rsidRPr="00B22F85">
        <w:t xml:space="preserve"> constructed</w:t>
      </w:r>
      <w:r w:rsidRPr="0029036C">
        <w:t xml:space="preserve"> </w:t>
      </w:r>
      <w:r w:rsidRPr="00B22F85">
        <w:t>based on</w:t>
      </w:r>
      <w:r w:rsidRPr="0029036C">
        <w:t xml:space="preserve"> </w:t>
      </w:r>
      <w:r w:rsidRPr="00B22F85">
        <w:t>the elasticity of the gas price to gas supply shocks as</w:t>
      </w:r>
      <w:r w:rsidRPr="0029036C">
        <w:t xml:space="preserve"> </w:t>
      </w:r>
      <w:r w:rsidRPr="00B22F85">
        <w:t>estimated</w:t>
      </w:r>
      <w:r w:rsidRPr="0029036C">
        <w:t xml:space="preserve"> </w:t>
      </w:r>
      <w:r w:rsidRPr="00B22F85">
        <w:t>in</w:t>
      </w:r>
      <w:r w:rsidRPr="0029036C">
        <w:t xml:space="preserve"> </w:t>
      </w:r>
      <w:proofErr w:type="spellStart"/>
      <w:r w:rsidRPr="00B22F85">
        <w:t>Albrizio</w:t>
      </w:r>
      <w:proofErr w:type="spellEnd"/>
      <w:r w:rsidRPr="0029036C">
        <w:t xml:space="preserve"> </w:t>
      </w:r>
      <w:r w:rsidRPr="00B22F85">
        <w:t>et al. (2023).</w:t>
      </w:r>
    </w:p>
    <w:p w14:paraId="6703E78C" w14:textId="77777777" w:rsidR="00154887" w:rsidRPr="00821B34" w:rsidRDefault="00154887" w:rsidP="00154887">
      <w:pPr>
        <w:pStyle w:val="Heading3"/>
      </w:pPr>
      <w:r>
        <w:t>U</w:t>
      </w:r>
      <w:r w:rsidRPr="00821B34">
        <w:t>ncertainty</w:t>
      </w:r>
    </w:p>
    <w:p w14:paraId="1BD6D641" w14:textId="4C9BB515" w:rsidR="00154887" w:rsidRPr="004207BC" w:rsidRDefault="00154887" w:rsidP="00A117FA">
      <w:r>
        <w:rPr>
          <w:rStyle w:val="IntenseEmphasis"/>
        </w:rPr>
        <w:t xml:space="preserve">Both </w:t>
      </w:r>
      <w:r w:rsidRPr="00EF3CEB">
        <w:rPr>
          <w:rStyle w:val="IntenseEmphasis"/>
        </w:rPr>
        <w:t xml:space="preserve">scenarios assume that an escalation of the </w:t>
      </w:r>
      <w:r>
        <w:rPr>
          <w:rStyle w:val="IntenseEmphasis"/>
        </w:rPr>
        <w:t>war</w:t>
      </w:r>
      <w:r w:rsidRPr="00EF3CEB">
        <w:rPr>
          <w:rStyle w:val="IntenseEmphasis"/>
        </w:rPr>
        <w:t xml:space="preserve"> in the Middle East would increase global uncertainty and trigger a repricing in financial markets</w:t>
      </w:r>
      <w:r>
        <w:rPr>
          <w:rStyle w:val="IntenseEmphasis"/>
        </w:rPr>
        <w:t>, though to varying degrees</w:t>
      </w:r>
      <w:r w:rsidRPr="00EF3CEB">
        <w:rPr>
          <w:rStyle w:val="IntenseEmphasis"/>
        </w:rPr>
        <w:t xml:space="preserve">, </w:t>
      </w:r>
      <w:r>
        <w:rPr>
          <w:rStyle w:val="IntenseEmphasis"/>
        </w:rPr>
        <w:t xml:space="preserve">which would </w:t>
      </w:r>
      <w:r w:rsidRPr="00EF3CEB">
        <w:rPr>
          <w:rStyle w:val="IntenseEmphasis"/>
        </w:rPr>
        <w:t xml:space="preserve">weigh on private consumption, investment and trade. </w:t>
      </w:r>
      <w:r w:rsidRPr="00F8003C">
        <w:t xml:space="preserve">In the </w:t>
      </w:r>
      <w:r>
        <w:t>adverse</w:t>
      </w:r>
      <w:r w:rsidRPr="00F8003C">
        <w:rPr>
          <w:rStyle w:val="Emphasis"/>
        </w:rPr>
        <w:t xml:space="preserve"> </w:t>
      </w:r>
      <w:r w:rsidRPr="00F8003C">
        <w:t>scenario,</w:t>
      </w:r>
      <w:r w:rsidRPr="00EF3CEB">
        <w:t xml:space="preserve"> </w:t>
      </w:r>
      <w:r>
        <w:t>the</w:t>
      </w:r>
      <w:r w:rsidRPr="00EF3CEB">
        <w:t xml:space="preserve"> VIX </w:t>
      </w:r>
      <w:r>
        <w:t>i</w:t>
      </w:r>
      <w:r w:rsidRPr="00EF3CEB">
        <w:t xml:space="preserve">ndex </w:t>
      </w:r>
      <w:r>
        <w:t>–</w:t>
      </w:r>
      <w:r w:rsidRPr="00EF3CEB">
        <w:t xml:space="preserve"> used as a proxy for global uncertainty </w:t>
      </w:r>
      <w:r>
        <w:t>–</w:t>
      </w:r>
      <w:r w:rsidRPr="00EF3CEB">
        <w:t xml:space="preserve"> </w:t>
      </w:r>
      <w:r>
        <w:t>increases</w:t>
      </w:r>
      <w:r w:rsidRPr="00EF3CEB">
        <w:t xml:space="preserve"> by around 10 points </w:t>
      </w:r>
      <w:r>
        <w:t>as a result of the impact of</w:t>
      </w:r>
      <w:r w:rsidRPr="00EF3CEB">
        <w:t xml:space="preserve"> </w:t>
      </w:r>
      <w:r>
        <w:t>the war</w:t>
      </w:r>
      <w:r w:rsidRPr="00EF3CEB">
        <w:t xml:space="preserve">, </w:t>
      </w:r>
      <w:r>
        <w:t>then</w:t>
      </w:r>
      <w:r w:rsidRPr="00026A62">
        <w:t xml:space="preserve"> gradually</w:t>
      </w:r>
      <w:r>
        <w:t xml:space="preserve"> </w:t>
      </w:r>
      <w:r w:rsidRPr="00EF3CEB">
        <w:t>return</w:t>
      </w:r>
      <w:r>
        <w:t>s to</w:t>
      </w:r>
      <w:r w:rsidRPr="00EF3CEB">
        <w:t xml:space="preserve"> </w:t>
      </w:r>
      <w:r>
        <w:t>its end</w:t>
      </w:r>
      <w:r w:rsidRPr="00026A62">
        <w:t>-</w:t>
      </w:r>
      <w:r>
        <w:t>2025</w:t>
      </w:r>
      <w:r w:rsidRPr="00EF3CEB">
        <w:t xml:space="preserve"> </w:t>
      </w:r>
      <w:r>
        <w:t xml:space="preserve">levels </w:t>
      </w:r>
      <w:r w:rsidRPr="00EF3CEB">
        <w:t xml:space="preserve">by </w:t>
      </w:r>
      <w:r>
        <w:t xml:space="preserve">the third quarter of </w:t>
      </w:r>
      <w:r w:rsidRPr="00EF3CEB">
        <w:t>2026</w:t>
      </w:r>
      <w:r>
        <w:t xml:space="preserve"> </w:t>
      </w:r>
      <w:r w:rsidRPr="008D7065">
        <w:t>(</w:t>
      </w:r>
      <w:r w:rsidRPr="008D7065">
        <w:rPr>
          <w:rStyle w:val="IntenseEmphasis"/>
        </w:rPr>
        <w:fldChar w:fldCharType="begin"/>
      </w:r>
      <w:r w:rsidRPr="008D7065">
        <w:rPr>
          <w:rStyle w:val="IntenseEmphasis"/>
        </w:rPr>
        <w:instrText xml:space="preserve"> REF _Ref224310546 \h  \* MERGEFORMAT </w:instrText>
      </w:r>
      <w:r w:rsidRPr="008D7065">
        <w:rPr>
          <w:rStyle w:val="IntenseEmphasis"/>
        </w:rPr>
      </w:r>
      <w:r w:rsidRPr="008D7065">
        <w:rPr>
          <w:rStyle w:val="IntenseEmphasis"/>
        </w:rPr>
        <w:fldChar w:fldCharType="separate"/>
      </w:r>
      <w:r w:rsidR="004D705B" w:rsidRPr="007839D5">
        <w:rPr>
          <w:rStyle w:val="IntenseEmphasis"/>
        </w:rPr>
        <w:t xml:space="preserve">Chart </w:t>
      </w:r>
      <w:r w:rsidR="004D705B">
        <w:rPr>
          <w:rStyle w:val="IntenseEmphasis"/>
        </w:rPr>
        <w:t>12</w:t>
      </w:r>
      <w:r w:rsidRPr="008D7065">
        <w:rPr>
          <w:rStyle w:val="IntenseEmphasis"/>
        </w:rPr>
        <w:fldChar w:fldCharType="end"/>
      </w:r>
      <w:r w:rsidRPr="008D7065">
        <w:t>, panel a)</w:t>
      </w:r>
      <w:r w:rsidRPr="00EF3CEB">
        <w:t xml:space="preserve">. Financial </w:t>
      </w:r>
      <w:r>
        <w:t xml:space="preserve">market </w:t>
      </w:r>
      <w:r w:rsidRPr="00EF3CEB">
        <w:t xml:space="preserve">volatility is therefore assumed to be temporary, </w:t>
      </w:r>
      <w:r w:rsidRPr="00026A62">
        <w:t xml:space="preserve">reflecting </w:t>
      </w:r>
      <w:r>
        <w:t>the</w:t>
      </w:r>
      <w:r w:rsidRPr="00EF3CEB">
        <w:t xml:space="preserve"> </w:t>
      </w:r>
      <w:r>
        <w:t xml:space="preserve">expected </w:t>
      </w:r>
      <w:r w:rsidRPr="00EF3CEB">
        <w:t>stabilisation in financial conditions as the</w:t>
      </w:r>
      <w:r>
        <w:t>re is no further deterioration in the</w:t>
      </w:r>
      <w:r w:rsidRPr="00EF3CEB">
        <w:t xml:space="preserve"> geopolitical situation and uncertainty recedes.</w:t>
      </w:r>
      <w:r>
        <w:t xml:space="preserve"> </w:t>
      </w:r>
      <w:r w:rsidRPr="00F8003C">
        <w:t xml:space="preserve">In the </w:t>
      </w:r>
      <w:r>
        <w:t>severe</w:t>
      </w:r>
      <w:r w:rsidRPr="00F8003C">
        <w:t xml:space="preserve"> scenario,</w:t>
      </w:r>
      <w:r w:rsidRPr="00EF3CEB">
        <w:t xml:space="preserve"> </w:t>
      </w:r>
      <w:r>
        <w:t xml:space="preserve">the VIX index </w:t>
      </w:r>
      <w:r w:rsidRPr="00EF3CEB">
        <w:lastRenderedPageBreak/>
        <w:t xml:space="preserve">rises by around 14 points, broadly in line with the increase observed following the outbreak of </w:t>
      </w:r>
      <w:r>
        <w:t>Russia’s</w:t>
      </w:r>
      <w:r w:rsidRPr="00EF3CEB">
        <w:t xml:space="preserve"> war </w:t>
      </w:r>
      <w:r>
        <w:t>against</w:t>
      </w:r>
      <w:r w:rsidRPr="00EF3CEB">
        <w:t xml:space="preserve"> Ukraine and during past episodes of geopolitical tensions. Although volatility gradually declines thereafter, it remains elevated for a prolonged period, reflecting persistent geopolitical uncertainty and fragile market sentiment</w:t>
      </w:r>
      <w:r>
        <w:t>.</w:t>
      </w:r>
      <w:r>
        <w:rPr>
          <w:rStyle w:val="FootnoteReference"/>
        </w:rPr>
        <w:footnoteReference w:id="16"/>
      </w:r>
      <w:r>
        <w:t xml:space="preserve"> </w:t>
      </w:r>
    </w:p>
    <w:p w14:paraId="1BE640C6" w14:textId="2B077BBE" w:rsidR="00154887" w:rsidRPr="009B4291" w:rsidRDefault="00154887" w:rsidP="00AA40BC">
      <w:pPr>
        <w:pStyle w:val="Chartright-Heading"/>
      </w:pPr>
      <w:r w:rsidRPr="007839D5">
        <w:rPr>
          <w:rStyle w:val="IntenseEmphasis"/>
        </w:rPr>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sidR="004D705B">
        <w:rPr>
          <w:rStyle w:val="IntenseEmphasis"/>
          <w:noProof/>
        </w:rPr>
        <w:t>12</w:t>
      </w:r>
      <w:r w:rsidRPr="007839D5">
        <w:rPr>
          <w:rStyle w:val="IntenseEmphasis"/>
        </w:rPr>
        <w:fldChar w:fldCharType="end"/>
      </w:r>
      <w:r w:rsidRPr="009B4291">
        <w:br/>
      </w:r>
      <w:r>
        <w:t>Financial market volatility and financial shocks</w:t>
      </w:r>
    </w:p>
    <w:tbl>
      <w:tblPr>
        <w:tblStyle w:val="ChartDuo"/>
        <w:tblW w:w="5000" w:type="pct"/>
        <w:tblBorders>
          <w:insideV w:val="none" w:sz="0" w:space="0" w:color="auto"/>
        </w:tblBorders>
        <w:tblLook w:val="0600" w:firstRow="0" w:lastRow="0" w:firstColumn="0" w:lastColumn="0" w:noHBand="1" w:noVBand="1"/>
      </w:tblPr>
      <w:tblGrid>
        <w:gridCol w:w="3572"/>
        <w:gridCol w:w="3572"/>
      </w:tblGrid>
      <w:tr w:rsidR="00154887" w14:paraId="24C50EFB" w14:textId="77777777">
        <w:tc>
          <w:tcPr>
            <w:tcW w:w="2500" w:type="pct"/>
          </w:tcPr>
          <w:p w14:paraId="6B4FB881" w14:textId="77777777" w:rsidR="00154887" w:rsidRPr="00154887" w:rsidRDefault="00154887" w:rsidP="00154887">
            <w:pPr>
              <w:pStyle w:val="Tabletext"/>
              <w:rPr>
                <w:rStyle w:val="Duochart-informativetitle"/>
              </w:rPr>
            </w:pPr>
            <w:r w:rsidRPr="009B4291">
              <w:rPr>
                <w:rStyle w:val="Duochart-informativetitle"/>
              </w:rPr>
              <w:t xml:space="preserve">a) </w:t>
            </w:r>
            <w:r w:rsidRPr="00154887">
              <w:rPr>
                <w:rStyle w:val="Duochart-informativetitle"/>
              </w:rPr>
              <w:t xml:space="preserve">VIX index </w:t>
            </w:r>
          </w:p>
        </w:tc>
        <w:tc>
          <w:tcPr>
            <w:tcW w:w="2500" w:type="pct"/>
          </w:tcPr>
          <w:p w14:paraId="6C661F20" w14:textId="77777777" w:rsidR="00154887" w:rsidRPr="00154887" w:rsidRDefault="00154887" w:rsidP="00154887">
            <w:pPr>
              <w:pStyle w:val="Tabletext"/>
              <w:rPr>
                <w:rStyle w:val="Duochart-informativetitle"/>
              </w:rPr>
            </w:pPr>
            <w:r w:rsidRPr="009B4291">
              <w:rPr>
                <w:rStyle w:val="Duochart-informativetitle"/>
              </w:rPr>
              <w:t xml:space="preserve">b) </w:t>
            </w:r>
            <w:r w:rsidRPr="00154887">
              <w:rPr>
                <w:rStyle w:val="Duochart-informativetitle"/>
              </w:rPr>
              <w:t>Euro area financial shocks under the severe scenario</w:t>
            </w:r>
          </w:p>
        </w:tc>
      </w:tr>
      <w:tr w:rsidR="00154887" w14:paraId="1F37300A" w14:textId="77777777">
        <w:tc>
          <w:tcPr>
            <w:tcW w:w="2500" w:type="pct"/>
          </w:tcPr>
          <w:p w14:paraId="36DC6C81" w14:textId="77777777" w:rsidR="00154887" w:rsidRPr="00154887" w:rsidRDefault="00154887" w:rsidP="00154887">
            <w:pPr>
              <w:pStyle w:val="Tabletext"/>
            </w:pPr>
            <w:r w:rsidRPr="009B4291">
              <w:t>(</w:t>
            </w:r>
            <w:r w:rsidRPr="00154887">
              <w:t xml:space="preserve">index)  </w:t>
            </w:r>
          </w:p>
        </w:tc>
        <w:tc>
          <w:tcPr>
            <w:tcW w:w="2500" w:type="pct"/>
          </w:tcPr>
          <w:p w14:paraId="413B68FB" w14:textId="77777777" w:rsidR="00154887" w:rsidRPr="00154887" w:rsidRDefault="00154887" w:rsidP="00154887">
            <w:pPr>
              <w:pStyle w:val="Tabletext"/>
            </w:pPr>
            <w:r w:rsidRPr="009B4291">
              <w:t>(</w:t>
            </w:r>
            <w:r w:rsidRPr="00154887">
              <w:t>basis points and percentage deviations from the BVAR model unconditional projection)</w:t>
            </w:r>
          </w:p>
        </w:tc>
      </w:tr>
      <w:tr w:rsidR="00154887" w14:paraId="41D17E2A" w14:textId="77777777">
        <w:tc>
          <w:tcPr>
            <w:tcW w:w="2500" w:type="pct"/>
          </w:tcPr>
          <w:p w14:paraId="233AB4B8" w14:textId="77777777" w:rsidR="00154887" w:rsidRPr="00154887" w:rsidRDefault="00154887" w:rsidP="00154887">
            <w:pPr>
              <w:pStyle w:val="Tabletext"/>
            </w:pPr>
            <w:r w:rsidRPr="00154887">
              <w:rPr>
                <w:noProof/>
              </w:rPr>
              <w:drawing>
                <wp:inline distT="0" distB="0" distL="0" distR="0" wp14:anchorId="0DD6A627" wp14:editId="7EB0E33B">
                  <wp:extent cx="2268220" cy="2268220"/>
                  <wp:effectExtent l="0" t="0" r="0" b="0"/>
                  <wp:docPr id="9847175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8220" cy="2268220"/>
                          </a:xfrm>
                          <a:prstGeom prst="rect">
                            <a:avLst/>
                          </a:prstGeom>
                          <a:noFill/>
                        </pic:spPr>
                      </pic:pic>
                    </a:graphicData>
                  </a:graphic>
                </wp:inline>
              </w:drawing>
            </w:r>
          </w:p>
        </w:tc>
        <w:tc>
          <w:tcPr>
            <w:tcW w:w="2500" w:type="pct"/>
          </w:tcPr>
          <w:p w14:paraId="1E33BC74" w14:textId="77777777" w:rsidR="00154887" w:rsidRPr="00154887" w:rsidRDefault="00154887" w:rsidP="00154887">
            <w:pPr>
              <w:pStyle w:val="Tabletext"/>
            </w:pPr>
            <w:r w:rsidRPr="00154887">
              <w:rPr>
                <w:noProof/>
              </w:rPr>
              <w:drawing>
                <wp:inline distT="0" distB="0" distL="0" distR="0" wp14:anchorId="630A500F" wp14:editId="1DAE3295">
                  <wp:extent cx="2268220" cy="2268220"/>
                  <wp:effectExtent l="0" t="0" r="0" b="0"/>
                  <wp:docPr id="8821233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8220" cy="2268220"/>
                          </a:xfrm>
                          <a:prstGeom prst="rect">
                            <a:avLst/>
                          </a:prstGeom>
                          <a:noFill/>
                        </pic:spPr>
                      </pic:pic>
                    </a:graphicData>
                  </a:graphic>
                </wp:inline>
              </w:drawing>
            </w:r>
          </w:p>
        </w:tc>
      </w:tr>
    </w:tbl>
    <w:p w14:paraId="1CE1EACD" w14:textId="77777777" w:rsidR="00154887" w:rsidRPr="009B4291" w:rsidRDefault="00154887" w:rsidP="000442F1">
      <w:pPr>
        <w:pStyle w:val="Chartright-SourcesNotes"/>
      </w:pPr>
      <w:r w:rsidRPr="009B4291">
        <w:t>Sources:</w:t>
      </w:r>
      <w:r w:rsidRPr="00422835">
        <w:t xml:space="preserve"> ECB,</w:t>
      </w:r>
      <w:r>
        <w:t xml:space="preserve"> </w:t>
      </w:r>
      <w:r w:rsidRPr="00422835">
        <w:t xml:space="preserve">CBOE Global Markets and ECB staff calculations. </w:t>
      </w:r>
      <w:r>
        <w:br/>
        <w:t>Notes: In panel a), t</w:t>
      </w:r>
      <w:r w:rsidRPr="00422835">
        <w:t>he baseline refer</w:t>
      </w:r>
      <w:r>
        <w:t>s</w:t>
      </w:r>
      <w:r w:rsidRPr="00422835">
        <w:t xml:space="preserve"> to a</w:t>
      </w:r>
      <w:r>
        <w:t>n</w:t>
      </w:r>
      <w:r w:rsidRPr="00422835">
        <w:t xml:space="preserve"> unconditional forecasted path f</w:t>
      </w:r>
      <w:r>
        <w:t>rom a</w:t>
      </w:r>
      <w:r w:rsidRPr="00422835">
        <w:t xml:space="preserve"> BVAR model.</w:t>
      </w:r>
      <w:r>
        <w:t xml:space="preserve"> The model includes the VIX index, euro area GDP, private consumption, business investment, HICP inflation, and short-term interest rates. In panel b), the financial </w:t>
      </w:r>
      <w:proofErr w:type="spellStart"/>
      <w:r>
        <w:t>shocks</w:t>
      </w:r>
      <w:proofErr w:type="spellEnd"/>
      <w:r>
        <w:t xml:space="preserve"> are simulated </w:t>
      </w:r>
      <w:r w:rsidRPr="00C512C8">
        <w:t>using a monthly BVAR model</w:t>
      </w:r>
      <w:r>
        <w:t>, which also includes the VIX index, and the expected default frequencies of both banks and firms,</w:t>
      </w:r>
      <w:r w:rsidRPr="00C512C8">
        <w:t xml:space="preserve"> conditioned on the path of the VIX</w:t>
      </w:r>
      <w:r>
        <w:t xml:space="preserve"> index; it</w:t>
      </w:r>
      <w:r w:rsidRPr="00C512C8">
        <w:t xml:space="preserve"> </w:t>
      </w:r>
      <w:r>
        <w:t>shows</w:t>
      </w:r>
      <w:r w:rsidRPr="00C512C8">
        <w:t xml:space="preserve"> the peak impact for </w:t>
      </w:r>
      <w:r>
        <w:t xml:space="preserve">bond </w:t>
      </w:r>
      <w:r w:rsidRPr="00C512C8">
        <w:t>spreads and equities</w:t>
      </w:r>
      <w:r>
        <w:t xml:space="preserve">. </w:t>
      </w:r>
      <w:r w:rsidRPr="00422835">
        <w:t>The latest observations</w:t>
      </w:r>
      <w:r>
        <w:t xml:space="preserve"> for the VIX index</w:t>
      </w:r>
      <w:r w:rsidRPr="00422835">
        <w:t xml:space="preserve"> are for </w:t>
      </w:r>
      <w:r>
        <w:t>11</w:t>
      </w:r>
      <w:r w:rsidRPr="00422835">
        <w:t xml:space="preserve"> March </w:t>
      </w:r>
      <w:r>
        <w:t>2026</w:t>
      </w:r>
      <w:r w:rsidRPr="00422835">
        <w:t>.</w:t>
      </w:r>
    </w:p>
    <w:p w14:paraId="21F97046" w14:textId="025D0B78" w:rsidR="00154887" w:rsidRDefault="00154887" w:rsidP="00A117FA">
      <w:r>
        <w:rPr>
          <w:rStyle w:val="IntenseEmphasis"/>
        </w:rPr>
        <w:t>In both scenarios, increased</w:t>
      </w:r>
      <w:r w:rsidRPr="00782516">
        <w:rPr>
          <w:rStyle w:val="IntenseEmphasis"/>
        </w:rPr>
        <w:t xml:space="preserve"> uncertainty </w:t>
      </w:r>
      <w:r>
        <w:rPr>
          <w:rStyle w:val="IntenseEmphasis"/>
        </w:rPr>
        <w:t>also</w:t>
      </w:r>
      <w:r w:rsidRPr="00782516" w:rsidDel="006462C5">
        <w:rPr>
          <w:rStyle w:val="IntenseEmphasis"/>
        </w:rPr>
        <w:t xml:space="preserve"> </w:t>
      </w:r>
      <w:r>
        <w:rPr>
          <w:rStyle w:val="IntenseEmphasis"/>
        </w:rPr>
        <w:t>results in</w:t>
      </w:r>
      <w:r w:rsidRPr="00782516">
        <w:rPr>
          <w:rStyle w:val="IntenseEmphasis"/>
        </w:rPr>
        <w:t xml:space="preserve"> increased f</w:t>
      </w:r>
      <w:r>
        <w:rPr>
          <w:rStyle w:val="IntenseEmphasis"/>
        </w:rPr>
        <w:t>inancing</w:t>
      </w:r>
      <w:r w:rsidRPr="00782516">
        <w:rPr>
          <w:rStyle w:val="IntenseEmphasis"/>
        </w:rPr>
        <w:t xml:space="preserve"> costs for banks and firms, via financial variables, bond spreads and equity prices</w:t>
      </w:r>
      <w:r>
        <w:rPr>
          <w:rStyle w:val="IntenseEmphasis"/>
        </w:rPr>
        <w:t>.</w:t>
      </w:r>
      <w:r w:rsidRPr="00154887">
        <w:rPr>
          <w:rStyle w:val="FootnoteReference"/>
        </w:rPr>
        <w:footnoteReference w:id="17"/>
      </w:r>
      <w:r>
        <w:rPr>
          <w:rStyle w:val="IntenseEmphasis"/>
        </w:rPr>
        <w:t xml:space="preserve"> </w:t>
      </w:r>
      <w:r>
        <w:t>The spike in the VIX index</w:t>
      </w:r>
      <w:r w:rsidRPr="00D968B3">
        <w:t xml:space="preserve"> </w:t>
      </w:r>
      <w:r>
        <w:t xml:space="preserve">would </w:t>
      </w:r>
      <w:r w:rsidRPr="00D968B3">
        <w:t xml:space="preserve">translate into </w:t>
      </w:r>
      <w:r>
        <w:t>significantly higher</w:t>
      </w:r>
      <w:r w:rsidRPr="00D968B3">
        <w:t xml:space="preserve"> funding costs for banks and firms</w:t>
      </w:r>
      <w:r>
        <w:t xml:space="preserve"> in the euro area.</w:t>
      </w:r>
      <w:r w:rsidRPr="00D968B3">
        <w:t xml:space="preserve"> </w:t>
      </w:r>
      <w:r>
        <w:t>For example, in the severe scenario, bond spreads would</w:t>
      </w:r>
      <w:r w:rsidRPr="00D968B3">
        <w:t xml:space="preserve"> increase, </w:t>
      </w:r>
      <w:r>
        <w:t>at</w:t>
      </w:r>
      <w:r w:rsidRPr="00D968B3">
        <w:t xml:space="preserve"> </w:t>
      </w:r>
      <w:r>
        <w:t xml:space="preserve">the </w:t>
      </w:r>
      <w:r w:rsidRPr="00D968B3">
        <w:t xml:space="preserve">peak, by about </w:t>
      </w:r>
      <w:r>
        <w:t xml:space="preserve">70 </w:t>
      </w:r>
      <w:r w:rsidRPr="00D968B3">
        <w:t>b</w:t>
      </w:r>
      <w:r>
        <w:t xml:space="preserve">asis </w:t>
      </w:r>
      <w:r w:rsidRPr="00D968B3">
        <w:t>p</w:t>
      </w:r>
      <w:r>
        <w:t>oint</w:t>
      </w:r>
      <w:r w:rsidRPr="00D968B3">
        <w:t xml:space="preserve">s and </w:t>
      </w:r>
      <w:r>
        <w:t xml:space="preserve">35 </w:t>
      </w:r>
      <w:r w:rsidRPr="00D968B3">
        <w:t>b</w:t>
      </w:r>
      <w:r>
        <w:t xml:space="preserve">asis </w:t>
      </w:r>
      <w:r w:rsidRPr="00D968B3">
        <w:t>p</w:t>
      </w:r>
      <w:r>
        <w:t>oint</w:t>
      </w:r>
      <w:r w:rsidRPr="00D968B3">
        <w:t>s respectively</w:t>
      </w:r>
      <w:r>
        <w:t xml:space="preserve"> for banks and firms, and then gradually narrow over the scenario horizon</w:t>
      </w:r>
      <w:r w:rsidRPr="00D968B3">
        <w:t>.</w:t>
      </w:r>
      <w:r>
        <w:t xml:space="preserve"> </w:t>
      </w:r>
      <w:r w:rsidRPr="00D968B3">
        <w:t xml:space="preserve">Moreover, equity prices </w:t>
      </w:r>
      <w:r>
        <w:t xml:space="preserve">would </w:t>
      </w:r>
      <w:r w:rsidRPr="00D968B3">
        <w:t xml:space="preserve">drop by </w:t>
      </w:r>
      <w:r>
        <w:t>10</w:t>
      </w:r>
      <w:r w:rsidRPr="00D968B3">
        <w:t xml:space="preserve">% for euro area banks </w:t>
      </w:r>
      <w:r>
        <w:t xml:space="preserve">and </w:t>
      </w:r>
      <w:r w:rsidRPr="00D968B3">
        <w:t xml:space="preserve">around </w:t>
      </w:r>
      <w:r>
        <w:t>7</w:t>
      </w:r>
      <w:r w:rsidRPr="00D968B3">
        <w:t>% for euro area firms (</w:t>
      </w:r>
      <w:r w:rsidRPr="00821B34">
        <w:rPr>
          <w:rStyle w:val="IntenseEmphasis"/>
        </w:rPr>
        <w:fldChar w:fldCharType="begin"/>
      </w:r>
      <w:r w:rsidRPr="00821B34">
        <w:rPr>
          <w:rStyle w:val="IntenseEmphasis"/>
        </w:rPr>
        <w:instrText xml:space="preserve"> REF _Ref224310546 \h </w:instrText>
      </w:r>
      <w:r>
        <w:rPr>
          <w:rStyle w:val="IntenseEmphasis"/>
        </w:rPr>
        <w:instrText xml:space="preserve"> \* MERGEFORMAT </w:instrText>
      </w:r>
      <w:r w:rsidRPr="00821B34">
        <w:rPr>
          <w:rStyle w:val="IntenseEmphasis"/>
        </w:rPr>
      </w:r>
      <w:r w:rsidRPr="00821B34">
        <w:rPr>
          <w:rStyle w:val="IntenseEmphasis"/>
        </w:rPr>
        <w:fldChar w:fldCharType="separate"/>
      </w:r>
      <w:r w:rsidR="004D705B" w:rsidRPr="007839D5">
        <w:rPr>
          <w:rStyle w:val="IntenseEmphasis"/>
        </w:rPr>
        <w:t xml:space="preserve">Chart </w:t>
      </w:r>
      <w:r w:rsidR="004D705B">
        <w:rPr>
          <w:rStyle w:val="IntenseEmphasis"/>
        </w:rPr>
        <w:t>12</w:t>
      </w:r>
      <w:r w:rsidRPr="00821B34">
        <w:rPr>
          <w:rStyle w:val="IntenseEmphasis"/>
        </w:rPr>
        <w:fldChar w:fldCharType="end"/>
      </w:r>
      <w:r w:rsidRPr="00655175">
        <w:t xml:space="preserve">, </w:t>
      </w:r>
      <w:r w:rsidRPr="006506F0">
        <w:t>panel b</w:t>
      </w:r>
      <w:r w:rsidRPr="00D968B3">
        <w:t xml:space="preserve">). </w:t>
      </w:r>
    </w:p>
    <w:p w14:paraId="7954F0F0" w14:textId="77777777" w:rsidR="00154887" w:rsidRPr="00976139" w:rsidRDefault="00154887" w:rsidP="00154887">
      <w:pPr>
        <w:pStyle w:val="Heading2"/>
      </w:pPr>
      <w:bookmarkStart w:id="10" w:name="_Toc224823017"/>
      <w:r w:rsidRPr="00976139">
        <w:lastRenderedPageBreak/>
        <w:t xml:space="preserve">The impact on the </w:t>
      </w:r>
      <w:r>
        <w:t xml:space="preserve">global </w:t>
      </w:r>
      <w:r w:rsidRPr="00976139">
        <w:t>economy across scenarios</w:t>
      </w:r>
      <w:bookmarkEnd w:id="10"/>
    </w:p>
    <w:p w14:paraId="4AAC1A47" w14:textId="77777777" w:rsidR="00154887" w:rsidRPr="00E7000B" w:rsidRDefault="00154887" w:rsidP="00E7000B">
      <w:r w:rsidRPr="0090621B">
        <w:rPr>
          <w:rStyle w:val="IntenseEmphasis"/>
        </w:rPr>
        <w:t>The impact on global economic activity and euro area foreign demand would be considerable</w:t>
      </w:r>
      <w:r>
        <w:rPr>
          <w:rStyle w:val="IntenseEmphasis"/>
        </w:rPr>
        <w:t xml:space="preserve">. </w:t>
      </w:r>
      <w:r w:rsidRPr="0090621B">
        <w:t xml:space="preserve">Even assuming a sharp drop in </w:t>
      </w:r>
      <w:r>
        <w:t xml:space="preserve">the </w:t>
      </w:r>
      <w:r w:rsidRPr="0090621B">
        <w:t xml:space="preserve">domestic economic activity </w:t>
      </w:r>
      <w:r>
        <w:t>of</w:t>
      </w:r>
      <w:r w:rsidRPr="0090621B">
        <w:t xml:space="preserve"> </w:t>
      </w:r>
      <w:r>
        <w:t>countries in the Middle East</w:t>
      </w:r>
      <w:r w:rsidRPr="0090621B">
        <w:t>, the direct impact on global GDP and euro area foreign demand would be limited owing to the small trade weights of the region.</w:t>
      </w:r>
      <w:r>
        <w:rPr>
          <w:rStyle w:val="FootnoteReference"/>
        </w:rPr>
        <w:footnoteReference w:id="18"/>
      </w:r>
      <w:r>
        <w:t xml:space="preserve"> However, a</w:t>
      </w:r>
      <w:r w:rsidRPr="003E25C9">
        <w:t>ccording to ECB-Global</w:t>
      </w:r>
      <w:r>
        <w:t xml:space="preserve"> model</w:t>
      </w:r>
      <w:r w:rsidRPr="003E25C9">
        <w:t xml:space="preserve"> simulations</w:t>
      </w:r>
      <w:r>
        <w:t>, more substantial dampening</w:t>
      </w:r>
      <w:r w:rsidRPr="00E7000B">
        <w:t xml:space="preserve"> effects </w:t>
      </w:r>
      <w:r>
        <w:t>would emerge</w:t>
      </w:r>
      <w:r w:rsidRPr="00E7000B">
        <w:t xml:space="preserve"> through higher oil and gas prices. </w:t>
      </w:r>
      <w:r w:rsidRPr="00707536">
        <w:t>Oil prices are determined in a global market, so a disruption in the Middle East raises oil prices for all countries.</w:t>
      </w:r>
      <w:r>
        <w:t xml:space="preserve"> By contrast, gas</w:t>
      </w:r>
      <w:r w:rsidRPr="00901F5C">
        <w:t xml:space="preserve"> </w:t>
      </w:r>
      <w:r>
        <w:t xml:space="preserve">markets are more regional: gas </w:t>
      </w:r>
      <w:r w:rsidRPr="00901F5C">
        <w:t xml:space="preserve">from </w:t>
      </w:r>
      <w:r>
        <w:t>the</w:t>
      </w:r>
      <w:r w:rsidRPr="00901F5C">
        <w:t xml:space="preserve"> Middle East </w:t>
      </w:r>
      <w:r>
        <w:t xml:space="preserve">is </w:t>
      </w:r>
      <w:r w:rsidRPr="00901F5C">
        <w:t xml:space="preserve">mostly </w:t>
      </w:r>
      <w:r>
        <w:t xml:space="preserve">exported </w:t>
      </w:r>
      <w:r w:rsidRPr="00901F5C">
        <w:t>to Asia</w:t>
      </w:r>
      <w:r>
        <w:t xml:space="preserve">, which competes </w:t>
      </w:r>
      <w:r w:rsidRPr="00901F5C">
        <w:t xml:space="preserve">with </w:t>
      </w:r>
      <w:r>
        <w:t xml:space="preserve">the </w:t>
      </w:r>
      <w:r w:rsidRPr="00901F5C">
        <w:t xml:space="preserve">euro area </w:t>
      </w:r>
      <w:r>
        <w:t>for gas supplies. Therefore, h</w:t>
      </w:r>
      <w:r w:rsidRPr="00E7000B">
        <w:t xml:space="preserve">igher gas prices are assumed </w:t>
      </w:r>
      <w:r>
        <w:t>to directly affect Asian countries, the e</w:t>
      </w:r>
      <w:r w:rsidRPr="00E7000B">
        <w:t xml:space="preserve">uro area </w:t>
      </w:r>
      <w:r>
        <w:t xml:space="preserve">and the </w:t>
      </w:r>
      <w:r w:rsidRPr="00E7000B">
        <w:t>U</w:t>
      </w:r>
      <w:r>
        <w:t xml:space="preserve">nited </w:t>
      </w:r>
      <w:r w:rsidRPr="00E7000B">
        <w:t>K</w:t>
      </w:r>
      <w:r>
        <w:t>ingdom,</w:t>
      </w:r>
      <w:r w:rsidRPr="00E7000B">
        <w:t xml:space="preserve"> whereas </w:t>
      </w:r>
      <w:r>
        <w:t xml:space="preserve">in the </w:t>
      </w:r>
      <w:r w:rsidRPr="00E7000B">
        <w:t>U</w:t>
      </w:r>
      <w:r>
        <w:t xml:space="preserve">nited </w:t>
      </w:r>
      <w:r w:rsidRPr="00E7000B">
        <w:t>S</w:t>
      </w:r>
      <w:r>
        <w:t>tates</w:t>
      </w:r>
      <w:r w:rsidRPr="00E7000B">
        <w:t xml:space="preserve"> and the </w:t>
      </w:r>
      <w:r>
        <w:t>r</w:t>
      </w:r>
      <w:r w:rsidRPr="00E7000B">
        <w:t xml:space="preserve">est of the </w:t>
      </w:r>
      <w:r>
        <w:t>w</w:t>
      </w:r>
      <w:r w:rsidRPr="00E7000B">
        <w:t>orld</w:t>
      </w:r>
      <w:r>
        <w:t>,</w:t>
      </w:r>
      <w:r w:rsidRPr="00E7000B">
        <w:t xml:space="preserve"> gas prices</w:t>
      </w:r>
      <w:r>
        <w:t xml:space="preserve"> increase less as they are less directly affected</w:t>
      </w:r>
      <w:r w:rsidRPr="00E7000B">
        <w:t xml:space="preserve">. </w:t>
      </w:r>
    </w:p>
    <w:p w14:paraId="4778EFA2" w14:textId="73113C19" w:rsidR="00154887" w:rsidRPr="00E7000B" w:rsidRDefault="00154887" w:rsidP="00E9397F">
      <w:r w:rsidRPr="00BA13B7">
        <w:rPr>
          <w:rStyle w:val="IntenseEmphasis"/>
        </w:rPr>
        <w:t xml:space="preserve">The macroeconomic impact differs across scenarios </w:t>
      </w:r>
      <w:r>
        <w:rPr>
          <w:rStyle w:val="IntenseEmphasis"/>
        </w:rPr>
        <w:t>based</w:t>
      </w:r>
      <w:r w:rsidRPr="00BA13B7">
        <w:rPr>
          <w:rStyle w:val="IntenseEmphasis"/>
        </w:rPr>
        <w:t xml:space="preserve"> on the persistence of the energy and uncertainty shocks.</w:t>
      </w:r>
      <w:r>
        <w:t xml:space="preserve"> </w:t>
      </w:r>
      <w:r w:rsidRPr="00BA13B7">
        <w:t xml:space="preserve">In the adverse scenario, the spike in energy prices and </w:t>
      </w:r>
      <w:r>
        <w:t>global</w:t>
      </w:r>
      <w:r w:rsidRPr="00BA13B7">
        <w:t xml:space="preserve"> uncertainty is assumed to be temporary and to fade relatively quickly. As a result, the effects on </w:t>
      </w:r>
      <w:r>
        <w:t xml:space="preserve">global </w:t>
      </w:r>
      <w:r w:rsidRPr="00BA13B7">
        <w:t xml:space="preserve">real </w:t>
      </w:r>
      <w:r>
        <w:t xml:space="preserve">economic </w:t>
      </w:r>
      <w:r w:rsidRPr="00BA13B7">
        <w:t>activity and inflation are short</w:t>
      </w:r>
      <w:r>
        <w:t>-lived</w:t>
      </w:r>
      <w:r w:rsidRPr="00BA13B7">
        <w:t>, with output declining and inflation rising in 2026 before the economy gradually recovers. By contrast, the severe scenario assumes larger and more persistent shock</w:t>
      </w:r>
      <w:r>
        <w:t>s</w:t>
      </w:r>
      <w:r w:rsidRPr="00BA13B7">
        <w:t>, leading to weaker economic growth globally, including in the United States, over the course of 2027</w:t>
      </w:r>
      <w:r>
        <w:t xml:space="preserve"> and higher inflation in the short term (</w:t>
      </w:r>
      <w:r w:rsidRPr="00821B34">
        <w:rPr>
          <w:rStyle w:val="IntenseEmphasis"/>
        </w:rPr>
        <w:fldChar w:fldCharType="begin"/>
      </w:r>
      <w:r w:rsidRPr="00821B34">
        <w:rPr>
          <w:rStyle w:val="IntenseEmphasis"/>
        </w:rPr>
        <w:instrText xml:space="preserve"> REF _Ref224310798 \h </w:instrText>
      </w:r>
      <w:r>
        <w:rPr>
          <w:rStyle w:val="IntenseEmphasis"/>
        </w:rPr>
        <w:instrText xml:space="preserve"> \* MERGEFORMAT </w:instrText>
      </w:r>
      <w:r w:rsidRPr="00821B34">
        <w:rPr>
          <w:rStyle w:val="IntenseEmphasis"/>
        </w:rPr>
      </w:r>
      <w:r w:rsidRPr="00821B34">
        <w:rPr>
          <w:rStyle w:val="IntenseEmphasis"/>
        </w:rPr>
        <w:fldChar w:fldCharType="separate"/>
      </w:r>
      <w:r w:rsidR="004D705B" w:rsidRPr="007839D5">
        <w:rPr>
          <w:rStyle w:val="IntenseEmphasis"/>
        </w:rPr>
        <w:t xml:space="preserve">Chart </w:t>
      </w:r>
      <w:r w:rsidR="004D705B">
        <w:rPr>
          <w:rStyle w:val="IntenseEmphasis"/>
        </w:rPr>
        <w:t>13</w:t>
      </w:r>
      <w:r w:rsidRPr="00821B34">
        <w:rPr>
          <w:rStyle w:val="IntenseEmphasis"/>
        </w:rPr>
        <w:fldChar w:fldCharType="end"/>
      </w:r>
      <w:r w:rsidRPr="004207BC">
        <w:t>, panel a</w:t>
      </w:r>
      <w:r>
        <w:t>)</w:t>
      </w:r>
      <w:r w:rsidRPr="00BA13B7">
        <w:t xml:space="preserve">. </w:t>
      </w:r>
      <w:r>
        <w:t xml:space="preserve">The reaction of monetary policy outside the euro area would dampen price dynamics, but with a delay. Countries more </w:t>
      </w:r>
      <w:r w:rsidRPr="0038252C">
        <w:t>exposed to higher energy costs, particularly in Asia</w:t>
      </w:r>
      <w:r>
        <w:t>, would experience larger</w:t>
      </w:r>
      <w:r w:rsidRPr="00891556">
        <w:t xml:space="preserve"> </w:t>
      </w:r>
      <w:r>
        <w:t xml:space="preserve">economic </w:t>
      </w:r>
      <w:r w:rsidRPr="00891556">
        <w:t>losses</w:t>
      </w:r>
      <w:r w:rsidRPr="0038252C">
        <w:t>.</w:t>
      </w:r>
      <w:r>
        <w:t xml:space="preserve"> Conversely, h</w:t>
      </w:r>
      <w:r w:rsidRPr="00BA13B7">
        <w:t xml:space="preserve">igher oil and gas prices </w:t>
      </w:r>
      <w:r>
        <w:t xml:space="preserve">would </w:t>
      </w:r>
      <w:r w:rsidRPr="00BA13B7">
        <w:t>benefit energy exporters such as Norway and Canada</w:t>
      </w:r>
      <w:r>
        <w:t>.</w:t>
      </w:r>
      <w:r w:rsidRPr="00BA13B7">
        <w:t xml:space="preserve"> </w:t>
      </w:r>
    </w:p>
    <w:p w14:paraId="058DEB87" w14:textId="5871F19D" w:rsidR="00154887" w:rsidRPr="00E7000B" w:rsidRDefault="00154887" w:rsidP="00E9397F">
      <w:r w:rsidRPr="00737C17">
        <w:rPr>
          <w:rStyle w:val="IntenseEmphasis"/>
        </w:rPr>
        <w:t xml:space="preserve">Disruptions in </w:t>
      </w:r>
      <w:r>
        <w:rPr>
          <w:rStyle w:val="IntenseEmphasis"/>
        </w:rPr>
        <w:t xml:space="preserve">the </w:t>
      </w:r>
      <w:r w:rsidRPr="00737C17">
        <w:rPr>
          <w:rStyle w:val="IntenseEmphasis"/>
        </w:rPr>
        <w:t xml:space="preserve">energy exports </w:t>
      </w:r>
      <w:r>
        <w:rPr>
          <w:rStyle w:val="IntenseEmphasis"/>
        </w:rPr>
        <w:t>of countries in the Middle East would</w:t>
      </w:r>
      <w:r w:rsidRPr="00737C17">
        <w:rPr>
          <w:rStyle w:val="IntenseEmphasis"/>
        </w:rPr>
        <w:t xml:space="preserve"> weigh on global demand and, with </w:t>
      </w:r>
      <w:r>
        <w:rPr>
          <w:rStyle w:val="IntenseEmphasis"/>
        </w:rPr>
        <w:t>some delay</w:t>
      </w:r>
      <w:r w:rsidRPr="00737C17">
        <w:rPr>
          <w:rStyle w:val="IntenseEmphasis"/>
        </w:rPr>
        <w:t>, on euro area foreign demand.</w:t>
      </w:r>
      <w:r>
        <w:t xml:space="preserve"> I</w:t>
      </w:r>
      <w:r w:rsidRPr="00E7000B">
        <w:t xml:space="preserve">n both the adverse and severe scenarios, energy exports from </w:t>
      </w:r>
      <w:r>
        <w:t xml:space="preserve">countries in the </w:t>
      </w:r>
      <w:r w:rsidRPr="00E7000B">
        <w:t xml:space="preserve">Middle East would be constrained and economic activity in </w:t>
      </w:r>
      <w:r>
        <w:t xml:space="preserve">these </w:t>
      </w:r>
      <w:r w:rsidRPr="00E7000B">
        <w:t xml:space="preserve">countries would be disrupted. </w:t>
      </w:r>
      <w:r>
        <w:t>The euro area has limited n</w:t>
      </w:r>
      <w:r w:rsidRPr="00E7000B">
        <w:t xml:space="preserve">on-energy trade exposure to Iran and </w:t>
      </w:r>
      <w:r>
        <w:t xml:space="preserve">other countries in the </w:t>
      </w:r>
      <w:r w:rsidRPr="00E7000B">
        <w:t>Middle East</w:t>
      </w:r>
      <w:r>
        <w:t>,</w:t>
      </w:r>
      <w:r w:rsidRPr="00E7000B">
        <w:t xml:space="preserve"> and </w:t>
      </w:r>
      <w:r>
        <w:t xml:space="preserve">it is assumed that there are </w:t>
      </w:r>
      <w:r w:rsidRPr="00E7000B">
        <w:t xml:space="preserve">no additional non-energy supply disruptions. The higher energy prices dampen global GDP, thereby reducing demand for euro area exports, though with some delay. </w:t>
      </w:r>
      <w:r>
        <w:t>The</w:t>
      </w:r>
      <w:r w:rsidRPr="00E7000B">
        <w:t xml:space="preserve"> increase in global uncertainty also dampens global economic activity and euro area foreign demand</w:t>
      </w:r>
      <w:r w:rsidRPr="00266627">
        <w:t xml:space="preserve"> </w:t>
      </w:r>
      <w:r>
        <w:t>via</w:t>
      </w:r>
      <w:r w:rsidRPr="00266627">
        <w:t xml:space="preserve"> lower equity prices and weaker private investment worldwide</w:t>
      </w:r>
      <w:r>
        <w:t xml:space="preserve"> (</w:t>
      </w:r>
      <w:r w:rsidRPr="00821B34">
        <w:rPr>
          <w:rStyle w:val="IntenseEmphasis"/>
        </w:rPr>
        <w:fldChar w:fldCharType="begin"/>
      </w:r>
      <w:r w:rsidRPr="00821B34">
        <w:rPr>
          <w:rStyle w:val="IntenseEmphasis"/>
        </w:rPr>
        <w:instrText xml:space="preserve"> REF _Ref224310798 \h </w:instrText>
      </w:r>
      <w:r>
        <w:rPr>
          <w:rStyle w:val="IntenseEmphasis"/>
        </w:rPr>
        <w:instrText xml:space="preserve"> \* MERGEFORMAT </w:instrText>
      </w:r>
      <w:r w:rsidRPr="00821B34">
        <w:rPr>
          <w:rStyle w:val="IntenseEmphasis"/>
        </w:rPr>
      </w:r>
      <w:r w:rsidRPr="00821B34">
        <w:rPr>
          <w:rStyle w:val="IntenseEmphasis"/>
        </w:rPr>
        <w:fldChar w:fldCharType="separate"/>
      </w:r>
      <w:r w:rsidR="004D705B" w:rsidRPr="007839D5">
        <w:rPr>
          <w:rStyle w:val="IntenseEmphasis"/>
        </w:rPr>
        <w:t xml:space="preserve">Chart </w:t>
      </w:r>
      <w:r w:rsidR="004D705B">
        <w:rPr>
          <w:rStyle w:val="IntenseEmphasis"/>
        </w:rPr>
        <w:t>13</w:t>
      </w:r>
      <w:r w:rsidRPr="00821B34">
        <w:rPr>
          <w:rStyle w:val="IntenseEmphasis"/>
        </w:rPr>
        <w:fldChar w:fldCharType="end"/>
      </w:r>
      <w:r w:rsidRPr="004207BC">
        <w:t>, panel b</w:t>
      </w:r>
      <w:r>
        <w:t>)</w:t>
      </w:r>
      <w:r w:rsidRPr="00BA13B7">
        <w:t>.</w:t>
      </w:r>
      <w:r w:rsidRPr="00E7000B">
        <w:t xml:space="preserve"> </w:t>
      </w:r>
    </w:p>
    <w:p w14:paraId="30914D12" w14:textId="28D9F183" w:rsidR="00154887" w:rsidRPr="009B4291" w:rsidRDefault="00154887" w:rsidP="009268E2">
      <w:pPr>
        <w:pStyle w:val="Chartright-Heading"/>
      </w:pPr>
      <w:r w:rsidRPr="007839D5">
        <w:rPr>
          <w:rStyle w:val="IntenseEmphasis"/>
        </w:rPr>
        <w:lastRenderedPageBreak/>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sidR="004D705B">
        <w:rPr>
          <w:rStyle w:val="IntenseEmphasis"/>
          <w:noProof/>
        </w:rPr>
        <w:t>13</w:t>
      </w:r>
      <w:r w:rsidRPr="007839D5">
        <w:rPr>
          <w:rStyle w:val="IntenseEmphasis"/>
        </w:rPr>
        <w:fldChar w:fldCharType="end"/>
      </w:r>
      <w:r w:rsidRPr="009B4291">
        <w:br/>
      </w:r>
      <w:r>
        <w:t>Impact on the United States and the global economy excluding the euro area</w:t>
      </w:r>
    </w:p>
    <w:tbl>
      <w:tblPr>
        <w:tblStyle w:val="ChartDuo"/>
        <w:tblW w:w="5000" w:type="pct"/>
        <w:tblBorders>
          <w:insideV w:val="none" w:sz="0" w:space="0" w:color="auto"/>
        </w:tblBorders>
        <w:tblLook w:val="0600" w:firstRow="0" w:lastRow="0" w:firstColumn="0" w:lastColumn="0" w:noHBand="1" w:noVBand="1"/>
      </w:tblPr>
      <w:tblGrid>
        <w:gridCol w:w="3572"/>
        <w:gridCol w:w="3572"/>
      </w:tblGrid>
      <w:tr w:rsidR="00154887" w14:paraId="5A68C5FB" w14:textId="77777777" w:rsidTr="00D70CAA">
        <w:tc>
          <w:tcPr>
            <w:tcW w:w="2500" w:type="pct"/>
          </w:tcPr>
          <w:p w14:paraId="514679C3" w14:textId="77777777" w:rsidR="00154887" w:rsidRPr="00154887" w:rsidRDefault="00154887" w:rsidP="00154887">
            <w:pPr>
              <w:pStyle w:val="Chartright-Picture"/>
              <w:rPr>
                <w:rStyle w:val="Duochart-informativetitle"/>
              </w:rPr>
            </w:pPr>
            <w:r w:rsidRPr="009B4291">
              <w:rPr>
                <w:rStyle w:val="Duochart-informativetitle"/>
              </w:rPr>
              <w:t xml:space="preserve">a) </w:t>
            </w:r>
            <w:r w:rsidRPr="00154887">
              <w:rPr>
                <w:rStyle w:val="Duochart-informativetitle"/>
              </w:rPr>
              <w:t xml:space="preserve">United States </w:t>
            </w:r>
          </w:p>
        </w:tc>
        <w:tc>
          <w:tcPr>
            <w:tcW w:w="2500" w:type="pct"/>
          </w:tcPr>
          <w:p w14:paraId="17BA1FF5" w14:textId="77777777" w:rsidR="00154887" w:rsidRPr="00154887" w:rsidRDefault="00154887" w:rsidP="00154887">
            <w:pPr>
              <w:pStyle w:val="Chartright-Picture"/>
              <w:rPr>
                <w:rStyle w:val="Duochart-informativetitle"/>
              </w:rPr>
            </w:pPr>
            <w:r w:rsidRPr="009B4291">
              <w:rPr>
                <w:rStyle w:val="Duochart-informativetitle"/>
              </w:rPr>
              <w:t xml:space="preserve">b) </w:t>
            </w:r>
            <w:r w:rsidRPr="00154887">
              <w:rPr>
                <w:rStyle w:val="Duochart-informativetitle"/>
              </w:rPr>
              <w:t>Global economy excluding the euro area</w:t>
            </w:r>
          </w:p>
        </w:tc>
      </w:tr>
      <w:tr w:rsidR="00154887" w14:paraId="589C294F" w14:textId="77777777" w:rsidTr="00D70CAA">
        <w:tc>
          <w:tcPr>
            <w:tcW w:w="2500" w:type="pct"/>
          </w:tcPr>
          <w:p w14:paraId="00800F12" w14:textId="77777777" w:rsidR="00154887" w:rsidRPr="00154887" w:rsidRDefault="00154887" w:rsidP="00154887">
            <w:pPr>
              <w:pStyle w:val="Chartright-Picture"/>
            </w:pPr>
            <w:r w:rsidRPr="009B4291">
              <w:t>(</w:t>
            </w:r>
            <w:r w:rsidRPr="00154887">
              <w:t>percentage point deviation from baseline growth rate)</w:t>
            </w:r>
          </w:p>
        </w:tc>
        <w:tc>
          <w:tcPr>
            <w:tcW w:w="2500" w:type="pct"/>
          </w:tcPr>
          <w:p w14:paraId="4BCED3B2" w14:textId="77777777" w:rsidR="00154887" w:rsidRPr="00154887" w:rsidRDefault="00154887" w:rsidP="00154887">
            <w:pPr>
              <w:pStyle w:val="Chartright-Picture"/>
            </w:pPr>
            <w:r w:rsidRPr="009B4291">
              <w:t>(</w:t>
            </w:r>
            <w:r w:rsidRPr="00154887">
              <w:t>percentage point deviation from baseline growth rate)</w:t>
            </w:r>
          </w:p>
        </w:tc>
      </w:tr>
      <w:tr w:rsidR="00154887" w14:paraId="517DA52F" w14:textId="77777777" w:rsidTr="00D70CAA">
        <w:tc>
          <w:tcPr>
            <w:tcW w:w="2500" w:type="pct"/>
          </w:tcPr>
          <w:p w14:paraId="79E9923D" w14:textId="5616E517" w:rsidR="00154887" w:rsidRPr="00154887" w:rsidRDefault="00260DAB" w:rsidP="00154887">
            <w:pPr>
              <w:pStyle w:val="Chartright-Picture"/>
            </w:pPr>
            <w:r>
              <w:rPr>
                <w:noProof/>
              </w:rPr>
              <w:drawing>
                <wp:inline distT="0" distB="0" distL="0" distR="0" wp14:anchorId="1E4DCFBD" wp14:editId="3FC07A0C">
                  <wp:extent cx="2255520" cy="2261870"/>
                  <wp:effectExtent l="0" t="0" r="0" b="5080"/>
                  <wp:docPr id="1787917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5520" cy="2261870"/>
                          </a:xfrm>
                          <a:prstGeom prst="rect">
                            <a:avLst/>
                          </a:prstGeom>
                          <a:noFill/>
                        </pic:spPr>
                      </pic:pic>
                    </a:graphicData>
                  </a:graphic>
                </wp:inline>
              </w:drawing>
            </w:r>
          </w:p>
        </w:tc>
        <w:tc>
          <w:tcPr>
            <w:tcW w:w="2500" w:type="pct"/>
          </w:tcPr>
          <w:p w14:paraId="109C2680" w14:textId="3975A13A" w:rsidR="00154887" w:rsidRPr="00154887" w:rsidRDefault="00260DAB" w:rsidP="00154887">
            <w:pPr>
              <w:pStyle w:val="Chartright-Picture"/>
            </w:pPr>
            <w:r>
              <w:rPr>
                <w:noProof/>
              </w:rPr>
              <w:drawing>
                <wp:inline distT="0" distB="0" distL="0" distR="0" wp14:anchorId="2BC367FD" wp14:editId="005AE0FB">
                  <wp:extent cx="2255520" cy="2261870"/>
                  <wp:effectExtent l="0" t="0" r="0" b="5080"/>
                  <wp:docPr id="2550323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5520" cy="2261870"/>
                          </a:xfrm>
                          <a:prstGeom prst="rect">
                            <a:avLst/>
                          </a:prstGeom>
                          <a:noFill/>
                        </pic:spPr>
                      </pic:pic>
                    </a:graphicData>
                  </a:graphic>
                </wp:inline>
              </w:drawing>
            </w:r>
          </w:p>
        </w:tc>
      </w:tr>
    </w:tbl>
    <w:p w14:paraId="5C36EE1D" w14:textId="77777777" w:rsidR="00154887" w:rsidRPr="009B4291" w:rsidRDefault="00154887" w:rsidP="009268E2">
      <w:pPr>
        <w:pStyle w:val="Chartright-SourcesNotes"/>
      </w:pPr>
      <w:r w:rsidRPr="009B4291">
        <w:t>Sources: ECB and ECB calculations</w:t>
      </w:r>
      <w:r>
        <w:t>.</w:t>
      </w:r>
      <w:r>
        <w:br/>
      </w:r>
      <w:r w:rsidRPr="009B4291">
        <w:t xml:space="preserve">Note: </w:t>
      </w:r>
      <w:r w:rsidRPr="00FF4437">
        <w:t xml:space="preserve">Simulations </w:t>
      </w:r>
      <w:r>
        <w:t xml:space="preserve">are </w:t>
      </w:r>
      <w:r w:rsidRPr="00FF4437">
        <w:t>conducted under a forecast setting</w:t>
      </w:r>
      <w:r>
        <w:t xml:space="preserve"> using</w:t>
      </w:r>
      <w:r w:rsidRPr="00FF4437">
        <w:t xml:space="preserve"> the</w:t>
      </w:r>
      <w:r>
        <w:t xml:space="preserve"> </w:t>
      </w:r>
      <w:r w:rsidRPr="00FF4437">
        <w:t>ECB-</w:t>
      </w:r>
      <w:r>
        <w:t>Global model with exogenous euro area monetary policy</w:t>
      </w:r>
      <w:r w:rsidRPr="009B4291">
        <w:t xml:space="preserve">. </w:t>
      </w:r>
    </w:p>
    <w:p w14:paraId="4259B9E8" w14:textId="77777777" w:rsidR="00154887" w:rsidRPr="00821B34" w:rsidRDefault="00154887" w:rsidP="00154887">
      <w:pPr>
        <w:pStyle w:val="Heading2"/>
      </w:pPr>
      <w:bookmarkStart w:id="11" w:name="_Toc224823018"/>
      <w:r w:rsidRPr="00821B34">
        <w:t>The impact on the euro area economy across scenarios</w:t>
      </w:r>
      <w:bookmarkEnd w:id="11"/>
    </w:p>
    <w:p w14:paraId="073DDE4A" w14:textId="695BD6AA" w:rsidR="00154887" w:rsidRPr="00AC1F05" w:rsidRDefault="00154887" w:rsidP="00B6411B">
      <w:r w:rsidRPr="00AC1F05">
        <w:rPr>
          <w:rStyle w:val="IntenseEmphasis"/>
        </w:rPr>
        <w:t>In the adverse scenario, the impact on the euro area economy is</w:t>
      </w:r>
      <w:r w:rsidR="00AF230D">
        <w:rPr>
          <w:rStyle w:val="IntenseEmphasis"/>
        </w:rPr>
        <w:t xml:space="preserve"> assumed to be</w:t>
      </w:r>
      <w:r w:rsidRPr="00AC1F05">
        <w:rPr>
          <w:rStyle w:val="IntenseEmphasis"/>
        </w:rPr>
        <w:t xml:space="preserve"> temporary</w:t>
      </w:r>
      <w:r>
        <w:rPr>
          <w:rStyle w:val="IntenseEmphasis"/>
        </w:rPr>
        <w:t xml:space="preserve"> and part of the inflationary impacts unwind</w:t>
      </w:r>
      <w:r w:rsidRPr="00AC1F05">
        <w:rPr>
          <w:rStyle w:val="IntenseEmphasis"/>
        </w:rPr>
        <w:t>, reflecting the transitory profile of the shocks</w:t>
      </w:r>
      <w:r>
        <w:rPr>
          <w:rStyle w:val="IntenseEmphasis"/>
        </w:rPr>
        <w:t xml:space="preserve"> </w:t>
      </w:r>
      <w:r w:rsidRPr="00B6411B">
        <w:rPr>
          <w:rStyle w:val="IntenseEmphasis"/>
        </w:rPr>
        <w:t>(</w:t>
      </w:r>
      <w:r>
        <w:rPr>
          <w:rStyle w:val="IntenseEmphasis"/>
        </w:rPr>
        <w:fldChar w:fldCharType="begin"/>
      </w:r>
      <w:r>
        <w:rPr>
          <w:rStyle w:val="IntenseEmphasis"/>
        </w:rPr>
        <w:instrText xml:space="preserve"> REF _Ref224505867 \h </w:instrText>
      </w:r>
      <w:r>
        <w:rPr>
          <w:rStyle w:val="IntenseEmphasis"/>
        </w:rPr>
      </w:r>
      <w:r>
        <w:rPr>
          <w:rStyle w:val="IntenseEmphasis"/>
        </w:rPr>
        <w:fldChar w:fldCharType="separate"/>
      </w:r>
      <w:r w:rsidR="004D705B" w:rsidRPr="007839D5">
        <w:rPr>
          <w:rStyle w:val="IntenseEmphasis"/>
        </w:rPr>
        <w:t xml:space="preserve">Chart </w:t>
      </w:r>
      <w:r w:rsidR="004D705B">
        <w:rPr>
          <w:rStyle w:val="IntenseEmphasis"/>
          <w:noProof/>
        </w:rPr>
        <w:t>14</w:t>
      </w:r>
      <w:r>
        <w:rPr>
          <w:rStyle w:val="IntenseEmphasis"/>
        </w:rPr>
        <w:fldChar w:fldCharType="end"/>
      </w:r>
      <w:r>
        <w:rPr>
          <w:rStyle w:val="IntenseEmphasis"/>
        </w:rPr>
        <w:t>)</w:t>
      </w:r>
      <w:r w:rsidRPr="00AC1F05">
        <w:rPr>
          <w:rStyle w:val="IntenseEmphasis"/>
        </w:rPr>
        <w:t>.</w:t>
      </w:r>
      <w:r w:rsidRPr="00AC1F05">
        <w:t xml:space="preserve"> </w:t>
      </w:r>
      <w:r w:rsidRPr="00821B34">
        <w:t xml:space="preserve">These effects mainly operate through </w:t>
      </w:r>
      <w:r>
        <w:t xml:space="preserve">a </w:t>
      </w:r>
      <w:r w:rsidRPr="00821B34">
        <w:t>reduc</w:t>
      </w:r>
      <w:r>
        <w:t>tion in</w:t>
      </w:r>
      <w:r w:rsidRPr="00821B34">
        <w:t xml:space="preserve"> real disposable income </w:t>
      </w:r>
      <w:r>
        <w:t>owing</w:t>
      </w:r>
      <w:r w:rsidRPr="00821B34">
        <w:t xml:space="preserve"> to higher energy costs, weaker external demand, and tighter financial conditions</w:t>
      </w:r>
      <w:r>
        <w:t xml:space="preserve"> via the VIX channel</w:t>
      </w:r>
      <w:r w:rsidRPr="00821B34">
        <w:t xml:space="preserve"> affecting investment decisions.</w:t>
      </w:r>
      <w:r w:rsidRPr="00AC1F05">
        <w:t xml:space="preserve"> </w:t>
      </w:r>
      <w:r>
        <w:t>According to ECB-BASE model simulations, r</w:t>
      </w:r>
      <w:r w:rsidRPr="00AC1F05">
        <w:t>eal GDP growth is around 0.</w:t>
      </w:r>
      <w:r>
        <w:t>3</w:t>
      </w:r>
      <w:r w:rsidRPr="00AC1F05">
        <w:t xml:space="preserve"> percentage points lower than </w:t>
      </w:r>
      <w:r>
        <w:t xml:space="preserve">in </w:t>
      </w:r>
      <w:r w:rsidRPr="00AC1F05">
        <w:t>the baseline in 2026 and about 0.</w:t>
      </w:r>
      <w:r>
        <w:t>1</w:t>
      </w:r>
      <w:r w:rsidRPr="00AC1F05">
        <w:t xml:space="preserve"> percentage points lower in 2027</w:t>
      </w:r>
      <w:r>
        <w:t>. A</w:t>
      </w:r>
      <w:r w:rsidRPr="00AC1F05">
        <w:t>s energy prices and uncertainty normalise</w:t>
      </w:r>
      <w:r>
        <w:t>,</w:t>
      </w:r>
      <w:r w:rsidRPr="00AC1F05" w:rsidDel="00396038">
        <w:t xml:space="preserve"> </w:t>
      </w:r>
      <w:r>
        <w:t>GDP growth recovers some of the losses</w:t>
      </w:r>
      <w:r w:rsidRPr="00AC1F05">
        <w:t xml:space="preserve"> </w:t>
      </w:r>
      <w:r>
        <w:t xml:space="preserve">and stands 0.2 </w:t>
      </w:r>
      <w:r w:rsidRPr="00AC1F05">
        <w:t>percentage points</w:t>
      </w:r>
      <w:r>
        <w:t xml:space="preserve"> above the baseline</w:t>
      </w:r>
      <w:r w:rsidRPr="00AE2F20">
        <w:t xml:space="preserve"> </w:t>
      </w:r>
      <w:r w:rsidRPr="00AC1F05">
        <w:t xml:space="preserve">in 2028. The energy shock is the main driver of the slowdown, </w:t>
      </w:r>
      <w:r>
        <w:t>leading especially to lower consumption. G</w:t>
      </w:r>
      <w:r w:rsidRPr="00AC1F05">
        <w:t>lobal spillovers</w:t>
      </w:r>
      <w:r>
        <w:t>, which dampen euro area exports,</w:t>
      </w:r>
      <w:r w:rsidRPr="00AC1F05">
        <w:t xml:space="preserve"> </w:t>
      </w:r>
      <w:r>
        <w:t xml:space="preserve">and </w:t>
      </w:r>
      <w:r w:rsidRPr="00027D3B">
        <w:t>uncertainty, which weigh</w:t>
      </w:r>
      <w:r>
        <w:t>s</w:t>
      </w:r>
      <w:r w:rsidRPr="00027D3B">
        <w:t xml:space="preserve"> on investment</w:t>
      </w:r>
      <w:r w:rsidR="00806248">
        <w:t>,</w:t>
      </w:r>
      <w:r w:rsidRPr="00027D3B">
        <w:t xml:space="preserve"> </w:t>
      </w:r>
      <w:r w:rsidRPr="00AC1F05">
        <w:t xml:space="preserve">also contribute. </w:t>
      </w:r>
      <w:r>
        <w:t xml:space="preserve">Headline </w:t>
      </w:r>
      <w:r w:rsidRPr="00AC1F05">
        <w:t xml:space="preserve">HICP inflation </w:t>
      </w:r>
      <w:r>
        <w:t>is 0.9</w:t>
      </w:r>
      <w:r w:rsidRPr="00AC1F05">
        <w:t xml:space="preserve"> percentage points </w:t>
      </w:r>
      <w:r>
        <w:t>higher</w:t>
      </w:r>
      <w:r w:rsidRPr="00AC1F05">
        <w:t xml:space="preserve"> in 2026</w:t>
      </w:r>
      <w:r>
        <w:t xml:space="preserve"> owing to higher energy prices. As energy prices decline rather rapidly from high levels, headline HICP inflation is</w:t>
      </w:r>
      <w:r w:rsidRPr="00AC1F05">
        <w:t xml:space="preserve"> </w:t>
      </w:r>
      <w:r>
        <w:t>0.</w:t>
      </w:r>
      <w:r w:rsidRPr="00AC1F05">
        <w:t xml:space="preserve">1 percentage points </w:t>
      </w:r>
      <w:r>
        <w:t>higher</w:t>
      </w:r>
      <w:r w:rsidRPr="00AC1F05">
        <w:t xml:space="preserve"> in 2027 </w:t>
      </w:r>
      <w:r w:rsidRPr="001D7207">
        <w:t xml:space="preserve">but 0.5 </w:t>
      </w:r>
      <w:r w:rsidRPr="00AC1F05">
        <w:t xml:space="preserve">percentage points </w:t>
      </w:r>
      <w:r w:rsidRPr="001D7207">
        <w:t xml:space="preserve">lower in 2028, </w:t>
      </w:r>
      <w:r>
        <w:t>owing</w:t>
      </w:r>
      <w:r w:rsidRPr="001D7207">
        <w:t xml:space="preserve"> to </w:t>
      </w:r>
      <w:r>
        <w:t xml:space="preserve">the disinflationary pressures stemming from the rapid normalisation of </w:t>
      </w:r>
      <w:r w:rsidRPr="001D7207">
        <w:t xml:space="preserve">energy </w:t>
      </w:r>
      <w:r>
        <w:t>prices after 2026</w:t>
      </w:r>
      <w:r w:rsidRPr="001D7207">
        <w:t xml:space="preserve"> in </w:t>
      </w:r>
      <w:r>
        <w:t>this scenario</w:t>
      </w:r>
      <w:r w:rsidRPr="001D7207">
        <w:t xml:space="preserve">. </w:t>
      </w:r>
    </w:p>
    <w:p w14:paraId="6B856AA9" w14:textId="19AB7508" w:rsidR="00154887" w:rsidRDefault="00154887" w:rsidP="0017673B">
      <w:r w:rsidRPr="007002C5">
        <w:rPr>
          <w:rStyle w:val="IntenseEmphasis"/>
        </w:rPr>
        <w:t xml:space="preserve">In the severe scenario, energy prices </w:t>
      </w:r>
      <w:r>
        <w:rPr>
          <w:rStyle w:val="IntenseEmphasis"/>
        </w:rPr>
        <w:t>are assumed to have</w:t>
      </w:r>
      <w:r w:rsidRPr="007002C5">
        <w:rPr>
          <w:rStyle w:val="IntenseEmphasis"/>
        </w:rPr>
        <w:t xml:space="preserve"> a stronger and </w:t>
      </w:r>
      <w:r>
        <w:rPr>
          <w:rStyle w:val="IntenseEmphasis"/>
        </w:rPr>
        <w:t>longer-</w:t>
      </w:r>
      <w:r w:rsidRPr="007002C5">
        <w:rPr>
          <w:rStyle w:val="IntenseEmphasis"/>
        </w:rPr>
        <w:t xml:space="preserve">lasting </w:t>
      </w:r>
      <w:r>
        <w:rPr>
          <w:rStyle w:val="IntenseEmphasis"/>
        </w:rPr>
        <w:t>effect</w:t>
      </w:r>
      <w:r w:rsidRPr="007002C5">
        <w:rPr>
          <w:rStyle w:val="IntenseEmphasis"/>
        </w:rPr>
        <w:t xml:space="preserve">, </w:t>
      </w:r>
      <w:r>
        <w:rPr>
          <w:rStyle w:val="IntenseEmphasis"/>
        </w:rPr>
        <w:t xml:space="preserve">and are </w:t>
      </w:r>
      <w:r w:rsidRPr="007002C5">
        <w:rPr>
          <w:rStyle w:val="IntenseEmphasis"/>
        </w:rPr>
        <w:t xml:space="preserve">accompanied by </w:t>
      </w:r>
      <w:r>
        <w:rPr>
          <w:rStyle w:val="IntenseEmphasis"/>
        </w:rPr>
        <w:t xml:space="preserve">effects of </w:t>
      </w:r>
      <w:r w:rsidRPr="007002C5">
        <w:rPr>
          <w:rStyle w:val="IntenseEmphasis"/>
        </w:rPr>
        <w:t>heightened uncertainty.</w:t>
      </w:r>
      <w:r w:rsidRPr="00AC1F05">
        <w:rPr>
          <w:rStyle w:val="IntenseEmphasis"/>
        </w:rPr>
        <w:t xml:space="preserve"> </w:t>
      </w:r>
      <w:r w:rsidRPr="00AC1F05">
        <w:t xml:space="preserve">Real GDP growth </w:t>
      </w:r>
      <w:r>
        <w:t>is</w:t>
      </w:r>
      <w:r w:rsidRPr="00AC1F05">
        <w:t xml:space="preserve"> 0.</w:t>
      </w:r>
      <w:r>
        <w:t>5</w:t>
      </w:r>
      <w:r w:rsidRPr="00AC1F05">
        <w:t xml:space="preserve"> </w:t>
      </w:r>
      <w:r>
        <w:t xml:space="preserve">and 0.4 </w:t>
      </w:r>
      <w:r w:rsidRPr="00B8173A">
        <w:t>percentage points</w:t>
      </w:r>
      <w:r w:rsidRPr="00B8173A" w:rsidDel="00B8173A">
        <w:t xml:space="preserve"> </w:t>
      </w:r>
      <w:r>
        <w:t>lower</w:t>
      </w:r>
      <w:r w:rsidRPr="00AC1F05">
        <w:t xml:space="preserve"> in 2026 and 2027 </w:t>
      </w:r>
      <w:r>
        <w:t>respectively, with negative quarterly growth rates in the second and third quarters of 2026 (</w:t>
      </w:r>
      <w:r w:rsidR="002C51C9">
        <w:fldChar w:fldCharType="begin"/>
      </w:r>
      <w:r w:rsidR="002C51C9">
        <w:instrText xml:space="preserve"> REF _Ref224505867 \h </w:instrText>
      </w:r>
      <w:r w:rsidR="002C51C9">
        <w:fldChar w:fldCharType="separate"/>
      </w:r>
      <w:r w:rsidR="004D705B" w:rsidRPr="007839D5">
        <w:rPr>
          <w:rStyle w:val="IntenseEmphasis"/>
        </w:rPr>
        <w:t xml:space="preserve">Chart </w:t>
      </w:r>
      <w:r w:rsidR="004D705B">
        <w:rPr>
          <w:rStyle w:val="IntenseEmphasis"/>
          <w:noProof/>
        </w:rPr>
        <w:t>14</w:t>
      </w:r>
      <w:r w:rsidR="002C51C9">
        <w:fldChar w:fldCharType="end"/>
      </w:r>
      <w:r>
        <w:t>, panel a)</w:t>
      </w:r>
      <w:r w:rsidRPr="00AC1F05">
        <w:t xml:space="preserve">. While the energy shock remains the main driver, uncertainty </w:t>
      </w:r>
      <w:r>
        <w:t>also</w:t>
      </w:r>
      <w:r w:rsidRPr="00AC1F05">
        <w:t xml:space="preserve"> play</w:t>
      </w:r>
      <w:r>
        <w:t>s</w:t>
      </w:r>
      <w:r w:rsidRPr="00AC1F05">
        <w:t xml:space="preserve"> a role and amplif</w:t>
      </w:r>
      <w:r>
        <w:t>ies</w:t>
      </w:r>
      <w:r w:rsidRPr="00AC1F05">
        <w:t xml:space="preserve"> the downturn, together with global </w:t>
      </w:r>
      <w:r w:rsidRPr="00AC1F05">
        <w:lastRenderedPageBreak/>
        <w:t>spillovers. HICP inflation</w:t>
      </w:r>
      <w:r>
        <w:t xml:space="preserve"> is</w:t>
      </w:r>
      <w:r w:rsidRPr="00AC1F05">
        <w:t xml:space="preserve"> </w:t>
      </w:r>
      <w:r>
        <w:t>1.8</w:t>
      </w:r>
      <w:r w:rsidRPr="00AC1F05">
        <w:t xml:space="preserve"> </w:t>
      </w:r>
      <w:r w:rsidRPr="00B8173A">
        <w:t>percentage points</w:t>
      </w:r>
      <w:r w:rsidRPr="00B8173A" w:rsidDel="00B8173A">
        <w:t xml:space="preserve"> </w:t>
      </w:r>
      <w:r>
        <w:t xml:space="preserve">higher </w:t>
      </w:r>
      <w:r w:rsidRPr="00AC1F05">
        <w:t>in 2026 and remains elevated</w:t>
      </w:r>
      <w:r>
        <w:t>,</w:t>
      </w:r>
      <w:r w:rsidRPr="00AC1F05">
        <w:t xml:space="preserve"> at </w:t>
      </w:r>
      <w:r>
        <w:t xml:space="preserve">2.8 </w:t>
      </w:r>
      <w:r w:rsidRPr="00B8173A">
        <w:t>percentage points</w:t>
      </w:r>
      <w:r w:rsidRPr="00AC1F05">
        <w:t xml:space="preserve"> </w:t>
      </w:r>
      <w:r>
        <w:t>above the baseline</w:t>
      </w:r>
      <w:r w:rsidRPr="00AC1F05">
        <w:t xml:space="preserve"> in 2027 </w:t>
      </w:r>
      <w:r>
        <w:t xml:space="preserve">and 0.7 </w:t>
      </w:r>
      <w:r w:rsidRPr="00B8173A">
        <w:t>percentage points</w:t>
      </w:r>
      <w:r w:rsidRPr="00B8173A" w:rsidDel="00B8173A">
        <w:t xml:space="preserve"> </w:t>
      </w:r>
      <w:r>
        <w:t xml:space="preserve">above the </w:t>
      </w:r>
      <w:r w:rsidRPr="00AC1F05">
        <w:t>baseline</w:t>
      </w:r>
      <w:r>
        <w:t xml:space="preserve"> in 2028</w:t>
      </w:r>
      <w:r w:rsidRPr="00AC1F05">
        <w:t xml:space="preserve">. </w:t>
      </w:r>
      <w:r>
        <w:t>The effects on HICPX</w:t>
      </w:r>
      <w:r w:rsidRPr="00AC1F05">
        <w:t xml:space="preserve"> inflation </w:t>
      </w:r>
      <w:r>
        <w:t>are stronger than</w:t>
      </w:r>
      <w:r w:rsidRPr="00AC1F05">
        <w:t xml:space="preserve"> in the adverse scenario</w:t>
      </w:r>
      <w:r>
        <w:t>,</w:t>
      </w:r>
      <w:r w:rsidRPr="00AC1F05">
        <w:t xml:space="preserve"> </w:t>
      </w:r>
      <w:r>
        <w:t xml:space="preserve">by </w:t>
      </w:r>
      <w:r w:rsidRPr="00AC1F05">
        <w:t xml:space="preserve">more than </w:t>
      </w:r>
      <w:r>
        <w:t>1</w:t>
      </w:r>
      <w:r w:rsidRPr="00AC1F05">
        <w:t xml:space="preserve"> percentage point in 2027</w:t>
      </w:r>
      <w:r>
        <w:t>-</w:t>
      </w:r>
      <w:r w:rsidRPr="00AC1F05">
        <w:t>28.</w:t>
      </w:r>
      <w:r>
        <w:t xml:space="preserve"> </w:t>
      </w:r>
    </w:p>
    <w:p w14:paraId="7859D4EB" w14:textId="3A248FF2" w:rsidR="00154887" w:rsidRPr="007002C5" w:rsidRDefault="00154887" w:rsidP="007002C5">
      <w:pPr>
        <w:pStyle w:val="Chartright-Heading"/>
        <w:rPr>
          <w:rStyle w:val="IntenseEmphasis"/>
        </w:rPr>
      </w:pPr>
      <w:r w:rsidRPr="007839D5">
        <w:rPr>
          <w:rStyle w:val="IntenseEmphasis"/>
        </w:rPr>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sidR="004D705B">
        <w:rPr>
          <w:rStyle w:val="IntenseEmphasis"/>
          <w:noProof/>
        </w:rPr>
        <w:t>14</w:t>
      </w:r>
      <w:r w:rsidRPr="007839D5">
        <w:rPr>
          <w:rStyle w:val="IntenseEmphasis"/>
        </w:rPr>
        <w:fldChar w:fldCharType="end"/>
      </w:r>
    </w:p>
    <w:p w14:paraId="294A4192" w14:textId="77777777" w:rsidR="00154887" w:rsidRPr="009B4291" w:rsidRDefault="00154887" w:rsidP="00A6408D">
      <w:pPr>
        <w:pStyle w:val="Chartright-Heading"/>
      </w:pPr>
      <w:r w:rsidRPr="002A6464">
        <w:t xml:space="preserve">Impact on </w:t>
      </w:r>
      <w:r>
        <w:t>the e</w:t>
      </w:r>
      <w:r w:rsidRPr="002A6464">
        <w:t xml:space="preserve">uro area by </w:t>
      </w:r>
      <w:r>
        <w:t>channel</w:t>
      </w:r>
      <w:r w:rsidRPr="002A6464">
        <w:t xml:space="preserve"> in the </w:t>
      </w:r>
      <w:r>
        <w:t>adverse</w:t>
      </w:r>
      <w:r w:rsidRPr="002A6464">
        <w:t xml:space="preserve"> and </w:t>
      </w:r>
      <w:r>
        <w:t>severe</w:t>
      </w:r>
      <w:r w:rsidRPr="002A6464">
        <w:t xml:space="preserve"> scenarios</w:t>
      </w:r>
    </w:p>
    <w:tbl>
      <w:tblPr>
        <w:tblStyle w:val="ChartDuo"/>
        <w:tblW w:w="5000" w:type="pct"/>
        <w:tblBorders>
          <w:insideV w:val="none" w:sz="0" w:space="0" w:color="auto"/>
        </w:tblBorders>
        <w:tblLook w:val="0600" w:firstRow="0" w:lastRow="0" w:firstColumn="0" w:lastColumn="0" w:noHBand="1" w:noVBand="1"/>
      </w:tblPr>
      <w:tblGrid>
        <w:gridCol w:w="3574"/>
        <w:gridCol w:w="3570"/>
      </w:tblGrid>
      <w:tr w:rsidR="00154887" w:rsidRPr="00642736" w14:paraId="1773B796" w14:textId="77777777" w:rsidTr="00460CAB">
        <w:tc>
          <w:tcPr>
            <w:tcW w:w="2508" w:type="pct"/>
          </w:tcPr>
          <w:p w14:paraId="20C23DCE" w14:textId="77777777" w:rsidR="00154887" w:rsidRPr="00154887" w:rsidRDefault="00154887" w:rsidP="00154887">
            <w:pPr>
              <w:pStyle w:val="Chartright-Picture"/>
              <w:rPr>
                <w:rStyle w:val="Duochart-informativetitle"/>
              </w:rPr>
            </w:pPr>
            <w:r w:rsidRPr="00642736">
              <w:rPr>
                <w:rStyle w:val="Duochart-informativetitle"/>
              </w:rPr>
              <w:t xml:space="preserve">a) </w:t>
            </w:r>
            <w:r w:rsidRPr="00154887">
              <w:rPr>
                <w:rStyle w:val="Duochart-informativetitle"/>
              </w:rPr>
              <w:t>Real GDP</w:t>
            </w:r>
          </w:p>
        </w:tc>
        <w:tc>
          <w:tcPr>
            <w:tcW w:w="2492" w:type="pct"/>
          </w:tcPr>
          <w:p w14:paraId="56C9D16A" w14:textId="77777777" w:rsidR="00154887" w:rsidRPr="00154887" w:rsidRDefault="00154887" w:rsidP="00154887">
            <w:pPr>
              <w:pStyle w:val="Chartright-Picture"/>
              <w:rPr>
                <w:rStyle w:val="Duochart-informativetitle"/>
              </w:rPr>
            </w:pPr>
            <w:r w:rsidRPr="00642736">
              <w:rPr>
                <w:rStyle w:val="Duochart-informativetitle"/>
              </w:rPr>
              <w:t>b) HICP</w:t>
            </w:r>
          </w:p>
        </w:tc>
      </w:tr>
      <w:tr w:rsidR="00154887" w:rsidRPr="00642736" w14:paraId="5ABB98DD" w14:textId="77777777" w:rsidTr="00460CAB">
        <w:tc>
          <w:tcPr>
            <w:tcW w:w="2508" w:type="pct"/>
          </w:tcPr>
          <w:p w14:paraId="4D56B46E" w14:textId="77777777" w:rsidR="00154887" w:rsidRPr="00154887" w:rsidRDefault="00154887" w:rsidP="00154887">
            <w:pPr>
              <w:pStyle w:val="Chartright-Picture"/>
              <w:rPr>
                <w:rStyle w:val="Duochart-informativetitle"/>
              </w:rPr>
            </w:pPr>
            <w:r w:rsidRPr="00642736">
              <w:t>(percentage point deviation from baseline growth rate)</w:t>
            </w:r>
          </w:p>
        </w:tc>
        <w:tc>
          <w:tcPr>
            <w:tcW w:w="2492" w:type="pct"/>
          </w:tcPr>
          <w:p w14:paraId="1254CFFB" w14:textId="77777777" w:rsidR="00154887" w:rsidRPr="00154887" w:rsidRDefault="00154887" w:rsidP="00154887">
            <w:pPr>
              <w:pStyle w:val="Chartright-Picture"/>
              <w:rPr>
                <w:rStyle w:val="Duochart-informativetitle"/>
              </w:rPr>
            </w:pPr>
            <w:r w:rsidRPr="00642736">
              <w:t>(percentage point deviation from baseline growth rate)</w:t>
            </w:r>
          </w:p>
        </w:tc>
      </w:tr>
      <w:tr w:rsidR="00154887" w:rsidRPr="00642736" w14:paraId="305A7F49" w14:textId="77777777" w:rsidTr="00460CAB">
        <w:tc>
          <w:tcPr>
            <w:tcW w:w="2508" w:type="pct"/>
          </w:tcPr>
          <w:p w14:paraId="69E43777" w14:textId="77777777" w:rsidR="00154887" w:rsidRPr="00154887" w:rsidRDefault="00154887" w:rsidP="00154887">
            <w:pPr>
              <w:pStyle w:val="Chartright-Picture"/>
            </w:pPr>
            <w:r w:rsidRPr="00154887">
              <w:rPr>
                <w:noProof/>
              </w:rPr>
              <w:drawing>
                <wp:inline distT="0" distB="0" distL="0" distR="0" wp14:anchorId="29BEEEEA" wp14:editId="1CE043A1">
                  <wp:extent cx="2231390" cy="2512060"/>
                  <wp:effectExtent l="0" t="0" r="0" b="2540"/>
                  <wp:docPr id="224906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1390" cy="2512060"/>
                          </a:xfrm>
                          <a:prstGeom prst="rect">
                            <a:avLst/>
                          </a:prstGeom>
                          <a:noFill/>
                        </pic:spPr>
                      </pic:pic>
                    </a:graphicData>
                  </a:graphic>
                </wp:inline>
              </w:drawing>
            </w:r>
          </w:p>
        </w:tc>
        <w:tc>
          <w:tcPr>
            <w:tcW w:w="2492" w:type="pct"/>
          </w:tcPr>
          <w:p w14:paraId="7330C09F" w14:textId="77777777" w:rsidR="00154887" w:rsidRPr="00154887" w:rsidRDefault="00154887" w:rsidP="00154887">
            <w:pPr>
              <w:pStyle w:val="Chartright-Picture"/>
            </w:pPr>
            <w:r w:rsidRPr="00154887">
              <w:rPr>
                <w:noProof/>
              </w:rPr>
              <w:drawing>
                <wp:inline distT="0" distB="0" distL="0" distR="0" wp14:anchorId="628F28F0" wp14:editId="29227AE5">
                  <wp:extent cx="2231390" cy="2512060"/>
                  <wp:effectExtent l="0" t="0" r="0" b="2540"/>
                  <wp:docPr id="6097212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1390" cy="2512060"/>
                          </a:xfrm>
                          <a:prstGeom prst="rect">
                            <a:avLst/>
                          </a:prstGeom>
                          <a:noFill/>
                        </pic:spPr>
                      </pic:pic>
                    </a:graphicData>
                  </a:graphic>
                </wp:inline>
              </w:drawing>
            </w:r>
          </w:p>
        </w:tc>
      </w:tr>
    </w:tbl>
    <w:p w14:paraId="1AD1E02C" w14:textId="07CA6696" w:rsidR="00154887" w:rsidRPr="00642736" w:rsidRDefault="00154887" w:rsidP="00642736">
      <w:pPr>
        <w:pStyle w:val="Chartright-SourcesNotes"/>
      </w:pPr>
      <w:r w:rsidRPr="00642736">
        <w:t>Source: ECB staff calculations based on ECB-BASE model simulations.</w:t>
      </w:r>
      <w:r w:rsidRPr="00642736">
        <w:br/>
        <w:t>Note: Simulations are conducted under a forecast setting using the ECB-BASE model and the rest of the model system responds endogenously.</w:t>
      </w:r>
      <w:r>
        <w:t xml:space="preserve"> Uncertainty also includes financial shocks in the severe scenario as described in section </w:t>
      </w:r>
      <w:r>
        <w:fldChar w:fldCharType="begin"/>
      </w:r>
      <w:r>
        <w:instrText xml:space="preserve"> REF _Ref224760216 \r \h </w:instrText>
      </w:r>
      <w:r>
        <w:fldChar w:fldCharType="separate"/>
      </w:r>
      <w:r w:rsidR="004D705B">
        <w:t>3.2.2</w:t>
      </w:r>
      <w:r>
        <w:fldChar w:fldCharType="end"/>
      </w:r>
      <w:r>
        <w:t>.</w:t>
      </w:r>
      <w:r w:rsidRPr="00642736">
        <w:t xml:space="preserve"> </w:t>
      </w:r>
    </w:p>
    <w:p w14:paraId="0091CADC" w14:textId="30D6126E" w:rsidR="00154887" w:rsidRDefault="00154887" w:rsidP="002416A3">
      <w:r w:rsidRPr="007002C5">
        <w:rPr>
          <w:rStyle w:val="IntenseEmphasis"/>
        </w:rPr>
        <w:t xml:space="preserve">The scenarios incorporate stronger indirect and second-round </w:t>
      </w:r>
      <w:r>
        <w:rPr>
          <w:rStyle w:val="IntenseEmphasis"/>
        </w:rPr>
        <w:t xml:space="preserve">inflation </w:t>
      </w:r>
      <w:r w:rsidRPr="007002C5">
        <w:rPr>
          <w:rStyle w:val="IntenseEmphasis"/>
        </w:rPr>
        <w:t xml:space="preserve">effects than those implied by standard model-based elasticities </w:t>
      </w:r>
      <w:r>
        <w:rPr>
          <w:rStyle w:val="IntenseEmphasis"/>
        </w:rPr>
        <w:t xml:space="preserve">in order to account for non-linearities in the transmission of large inflationary shocks to prices and wages, such as those seen </w:t>
      </w:r>
      <w:r w:rsidRPr="007002C5">
        <w:rPr>
          <w:rStyle w:val="IntenseEmphasis"/>
        </w:rPr>
        <w:t xml:space="preserve">during the </w:t>
      </w:r>
      <w:r>
        <w:rPr>
          <w:rStyle w:val="IntenseEmphasis"/>
        </w:rPr>
        <w:t>2021-</w:t>
      </w:r>
      <w:r w:rsidRPr="007002C5">
        <w:rPr>
          <w:rStyle w:val="IntenseEmphasis"/>
        </w:rPr>
        <w:t>22 energy crisis.</w:t>
      </w:r>
      <w:r w:rsidRPr="001E7067">
        <w:t xml:space="preserve"> Historical regularities embedded in projection models such as </w:t>
      </w:r>
      <w:r>
        <w:t xml:space="preserve">the </w:t>
      </w:r>
      <w:r w:rsidRPr="001E7067">
        <w:t xml:space="preserve">ECB-BASE </w:t>
      </w:r>
      <w:r>
        <w:t xml:space="preserve">model </w:t>
      </w:r>
      <w:r w:rsidRPr="001E7067">
        <w:t xml:space="preserve">and </w:t>
      </w:r>
      <w:r>
        <w:t xml:space="preserve">the standard projection models used by national central banks in the </w:t>
      </w:r>
      <w:proofErr w:type="spellStart"/>
      <w:r>
        <w:t>Eurosystem</w:t>
      </w:r>
      <w:proofErr w:type="spellEnd"/>
      <w:r>
        <w:t xml:space="preserve"> </w:t>
      </w:r>
      <w:r w:rsidRPr="001E7067">
        <w:t xml:space="preserve">typically imply </w:t>
      </w:r>
      <w:r>
        <w:t xml:space="preserve">a </w:t>
      </w:r>
      <w:r w:rsidRPr="001E7067">
        <w:t xml:space="preserve">relatively limited pass-through of energy </w:t>
      </w:r>
      <w:r>
        <w:t xml:space="preserve">price </w:t>
      </w:r>
      <w:r w:rsidRPr="001E7067">
        <w:t xml:space="preserve">shocks to other consumer prices. However, the experience of the </w:t>
      </w:r>
      <w:r>
        <w:t>2021-</w:t>
      </w:r>
      <w:r w:rsidRPr="001E7067">
        <w:t xml:space="preserve">22 </w:t>
      </w:r>
      <w:r>
        <w:t>episode of high inflation</w:t>
      </w:r>
      <w:r w:rsidRPr="001E7067">
        <w:t xml:space="preserve"> suggest</w:t>
      </w:r>
      <w:r>
        <w:t>s there can be</w:t>
      </w:r>
      <w:r w:rsidRPr="001E7067">
        <w:t xml:space="preserve"> substantially stronger transmission across price components</w:t>
      </w:r>
      <w:r w:rsidR="008D68EF">
        <w:t xml:space="preserve"> following abnormally large inflationary shocks</w:t>
      </w:r>
      <w:r w:rsidRPr="001E7067">
        <w:t xml:space="preserve">. Several factors may explain why the transmission observed during that period exceeded historical regularities, including the exceptional size of the energy </w:t>
      </w:r>
      <w:r>
        <w:t xml:space="preserve">price </w:t>
      </w:r>
      <w:r w:rsidRPr="001E7067">
        <w:t xml:space="preserve">shock, </w:t>
      </w:r>
      <w:r>
        <w:t xml:space="preserve">other </w:t>
      </w:r>
      <w:r w:rsidRPr="001E7067">
        <w:t>potential non-linearities in price-setting behaviour during periods of high inflation</w:t>
      </w:r>
      <w:r>
        <w:t xml:space="preserve">, </w:t>
      </w:r>
      <w:r w:rsidRPr="001E7067">
        <w:t>post-pandemic reopening dynamics</w:t>
      </w:r>
      <w:r>
        <w:t xml:space="preserve"> and</w:t>
      </w:r>
      <w:r w:rsidRPr="001E7067">
        <w:t xml:space="preserve"> supply constraints across several sectors. </w:t>
      </w:r>
      <w:r w:rsidRPr="00230E46">
        <w:t xml:space="preserve">The recalibration of certain key model parameters enables the transmission mechanisms </w:t>
      </w:r>
      <w:r>
        <w:t xml:space="preserve">to be strengthened </w:t>
      </w:r>
      <w:r w:rsidRPr="00230E46">
        <w:t xml:space="preserve">compared </w:t>
      </w:r>
      <w:r>
        <w:t>with</w:t>
      </w:r>
      <w:r w:rsidRPr="00230E46">
        <w:t xml:space="preserve"> the standard model configuration, taking into account the significant energy price shock embedded in the adverse and severe scenarios</w:t>
      </w:r>
      <w:r w:rsidRPr="001E7067">
        <w:t xml:space="preserve">. In particular, </w:t>
      </w:r>
      <w:r>
        <w:t xml:space="preserve">based on the aforementioned considerations, </w:t>
      </w:r>
      <w:r w:rsidRPr="001E7067">
        <w:t>the model parameters governing</w:t>
      </w:r>
      <w:r>
        <w:t xml:space="preserve"> energy</w:t>
      </w:r>
      <w:r w:rsidRPr="001E7067">
        <w:t xml:space="preserve"> price transmission </w:t>
      </w:r>
      <w:r>
        <w:t xml:space="preserve">to other prices and wages </w:t>
      </w:r>
      <w:r w:rsidRPr="001E7067">
        <w:t xml:space="preserve">are adjusted so that the implied elasticities </w:t>
      </w:r>
      <w:r w:rsidRPr="001E7067">
        <w:lastRenderedPageBreak/>
        <w:t xml:space="preserve">lie between the baseline model calibration and the higher elasticities observed during the </w:t>
      </w:r>
      <w:r>
        <w:t>recent inflation surge</w:t>
      </w:r>
      <w:r w:rsidRPr="001E7067">
        <w:t>.</w:t>
      </w:r>
      <w:r>
        <w:rPr>
          <w:rStyle w:val="FootnoteReference"/>
        </w:rPr>
        <w:footnoteReference w:id="19"/>
      </w:r>
    </w:p>
    <w:p w14:paraId="74200959" w14:textId="2268229E" w:rsidR="00154887" w:rsidRPr="007002C5" w:rsidRDefault="00154887" w:rsidP="00F20DDD">
      <w:pPr>
        <w:pStyle w:val="Chartright-Heading"/>
        <w:rPr>
          <w:rStyle w:val="IntenseEmphasis"/>
        </w:rPr>
      </w:pPr>
      <w:r w:rsidRPr="007839D5">
        <w:rPr>
          <w:rStyle w:val="IntenseEmphasis"/>
        </w:rPr>
        <w:lastRenderedPageBreak/>
        <w:t xml:space="preserve">Chart </w:t>
      </w:r>
      <w:r w:rsidRPr="007839D5">
        <w:rPr>
          <w:rStyle w:val="IntenseEmphasis"/>
        </w:rPr>
        <w:fldChar w:fldCharType="begin"/>
      </w:r>
      <w:r w:rsidRPr="007839D5">
        <w:rPr>
          <w:rStyle w:val="IntenseEmphasis"/>
        </w:rPr>
        <w:instrText xml:space="preserve"> SEQ Chart \* ARABIC </w:instrText>
      </w:r>
      <w:r w:rsidRPr="007839D5">
        <w:rPr>
          <w:rStyle w:val="IntenseEmphasis"/>
        </w:rPr>
        <w:fldChar w:fldCharType="separate"/>
      </w:r>
      <w:r w:rsidR="004D705B">
        <w:rPr>
          <w:rStyle w:val="IntenseEmphasis"/>
          <w:noProof/>
        </w:rPr>
        <w:t>15</w:t>
      </w:r>
      <w:r w:rsidRPr="007839D5">
        <w:rPr>
          <w:rStyle w:val="IntenseEmphasis"/>
        </w:rPr>
        <w:fldChar w:fldCharType="end"/>
      </w:r>
    </w:p>
    <w:p w14:paraId="0C139AB7" w14:textId="77777777" w:rsidR="00154887" w:rsidRPr="009B4291" w:rsidRDefault="00154887" w:rsidP="00F20DDD">
      <w:pPr>
        <w:pStyle w:val="Chartright-Heading"/>
      </w:pPr>
      <w:r>
        <w:t>The o</w:t>
      </w:r>
      <w:r w:rsidRPr="00F20DDD">
        <w:t>utlook for key euro area variables under the baseline and alternative scenarios</w:t>
      </w:r>
    </w:p>
    <w:tbl>
      <w:tblPr>
        <w:tblStyle w:val="ChartDuo"/>
        <w:tblW w:w="5000" w:type="pct"/>
        <w:tblBorders>
          <w:insideV w:val="none" w:sz="0" w:space="0" w:color="auto"/>
        </w:tblBorders>
        <w:tblLook w:val="0600" w:firstRow="0" w:lastRow="0" w:firstColumn="0" w:lastColumn="0" w:noHBand="1" w:noVBand="1"/>
      </w:tblPr>
      <w:tblGrid>
        <w:gridCol w:w="3570"/>
        <w:gridCol w:w="3574"/>
      </w:tblGrid>
      <w:tr w:rsidR="00154887" w:rsidRPr="005D23FB" w14:paraId="34118E35" w14:textId="77777777" w:rsidTr="005D23FB">
        <w:trPr>
          <w:trHeight w:val="180"/>
        </w:trPr>
        <w:tc>
          <w:tcPr>
            <w:tcW w:w="2392" w:type="pct"/>
          </w:tcPr>
          <w:p w14:paraId="67231567" w14:textId="77777777" w:rsidR="00154887" w:rsidRPr="00154887" w:rsidRDefault="00154887" w:rsidP="00154887">
            <w:pPr>
              <w:pStyle w:val="Chartright-Picture"/>
              <w:rPr>
                <w:rStyle w:val="Duochart-informativetitle"/>
              </w:rPr>
            </w:pPr>
            <w:r w:rsidRPr="005D23FB">
              <w:rPr>
                <w:rStyle w:val="Duochart-informativetitle"/>
              </w:rPr>
              <w:t>a) GDP</w:t>
            </w:r>
          </w:p>
        </w:tc>
        <w:tc>
          <w:tcPr>
            <w:tcW w:w="2608" w:type="pct"/>
          </w:tcPr>
          <w:p w14:paraId="47F8EFBA" w14:textId="77777777" w:rsidR="00154887" w:rsidRPr="00154887" w:rsidRDefault="00154887" w:rsidP="00154887">
            <w:pPr>
              <w:pStyle w:val="Chartright-Picture"/>
              <w:rPr>
                <w:rStyle w:val="Duochart-informativetitle"/>
              </w:rPr>
            </w:pPr>
            <w:r w:rsidRPr="005D23FB">
              <w:rPr>
                <w:rStyle w:val="Duochart-informativetitle"/>
              </w:rPr>
              <w:t>b) Unemployment</w:t>
            </w:r>
          </w:p>
        </w:tc>
      </w:tr>
      <w:tr w:rsidR="00154887" w:rsidRPr="005D23FB" w14:paraId="05E98685" w14:textId="77777777" w:rsidTr="005D23FB">
        <w:tc>
          <w:tcPr>
            <w:tcW w:w="2392" w:type="pct"/>
          </w:tcPr>
          <w:p w14:paraId="208966B7" w14:textId="77777777" w:rsidR="00154887" w:rsidRPr="00154887" w:rsidRDefault="00154887" w:rsidP="00154887">
            <w:pPr>
              <w:pStyle w:val="Chartright-Picture"/>
            </w:pPr>
            <w:r w:rsidRPr="00017B2B">
              <w:t>(quarter-on-quarter percentage changes, seasonally and working day-adjusted quarterly data)</w:t>
            </w:r>
          </w:p>
        </w:tc>
        <w:tc>
          <w:tcPr>
            <w:tcW w:w="2608" w:type="pct"/>
          </w:tcPr>
          <w:p w14:paraId="52363DB1" w14:textId="77777777" w:rsidR="00154887" w:rsidRPr="00154887" w:rsidRDefault="00154887" w:rsidP="00154887">
            <w:pPr>
              <w:pStyle w:val="Chartright-Picture"/>
            </w:pPr>
            <w:r w:rsidRPr="005D23FB">
              <w:t>(percent</w:t>
            </w:r>
            <w:r w:rsidRPr="00154887">
              <w:t>age of the labour force)</w:t>
            </w:r>
          </w:p>
        </w:tc>
      </w:tr>
      <w:tr w:rsidR="00154887" w:rsidRPr="005D23FB" w14:paraId="2C1E125C" w14:textId="77777777" w:rsidTr="005D23FB">
        <w:trPr>
          <w:trHeight w:val="2520"/>
        </w:trPr>
        <w:tc>
          <w:tcPr>
            <w:tcW w:w="2392" w:type="pct"/>
          </w:tcPr>
          <w:p w14:paraId="6ADA6046" w14:textId="77777777" w:rsidR="00154887" w:rsidRPr="00154887" w:rsidRDefault="00154887" w:rsidP="00154887">
            <w:pPr>
              <w:pStyle w:val="Chartright-Picture"/>
            </w:pPr>
            <w:r w:rsidRPr="00154887">
              <w:rPr>
                <w:noProof/>
              </w:rPr>
              <w:drawing>
                <wp:inline distT="0" distB="0" distL="0" distR="0" wp14:anchorId="2AD178C3" wp14:editId="411294F3">
                  <wp:extent cx="2231390" cy="2091055"/>
                  <wp:effectExtent l="0" t="0" r="0" b="0"/>
                  <wp:docPr id="623303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1390" cy="2091055"/>
                          </a:xfrm>
                          <a:prstGeom prst="rect">
                            <a:avLst/>
                          </a:prstGeom>
                          <a:noFill/>
                        </pic:spPr>
                      </pic:pic>
                    </a:graphicData>
                  </a:graphic>
                </wp:inline>
              </w:drawing>
            </w:r>
          </w:p>
        </w:tc>
        <w:tc>
          <w:tcPr>
            <w:tcW w:w="2608" w:type="pct"/>
          </w:tcPr>
          <w:p w14:paraId="56AC53F7" w14:textId="77777777" w:rsidR="00154887" w:rsidRPr="00154887" w:rsidRDefault="00154887" w:rsidP="00154887">
            <w:pPr>
              <w:pStyle w:val="Chartright-Picture"/>
            </w:pPr>
            <w:r w:rsidRPr="00154887">
              <w:rPr>
                <w:noProof/>
              </w:rPr>
              <w:drawing>
                <wp:inline distT="0" distB="0" distL="0" distR="0" wp14:anchorId="00E90C64" wp14:editId="078D1134">
                  <wp:extent cx="2231390" cy="2091055"/>
                  <wp:effectExtent l="0" t="0" r="0" b="4445"/>
                  <wp:docPr id="18392517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1390" cy="2091055"/>
                          </a:xfrm>
                          <a:prstGeom prst="rect">
                            <a:avLst/>
                          </a:prstGeom>
                          <a:noFill/>
                        </pic:spPr>
                      </pic:pic>
                    </a:graphicData>
                  </a:graphic>
                </wp:inline>
              </w:drawing>
            </w:r>
          </w:p>
        </w:tc>
      </w:tr>
      <w:tr w:rsidR="00154887" w:rsidRPr="005D23FB" w14:paraId="218507C3" w14:textId="77777777" w:rsidTr="005D23FB">
        <w:trPr>
          <w:trHeight w:val="140"/>
        </w:trPr>
        <w:tc>
          <w:tcPr>
            <w:tcW w:w="2392" w:type="pct"/>
          </w:tcPr>
          <w:p w14:paraId="18B30EEB" w14:textId="77777777" w:rsidR="00154887" w:rsidRPr="00154887" w:rsidRDefault="00154887" w:rsidP="00154887">
            <w:pPr>
              <w:pStyle w:val="Chartright-Picture"/>
              <w:rPr>
                <w:rStyle w:val="Duochart-informativetitle"/>
              </w:rPr>
            </w:pPr>
            <w:r w:rsidRPr="005D23FB">
              <w:rPr>
                <w:rStyle w:val="Duochart-informativetitle"/>
              </w:rPr>
              <w:t xml:space="preserve">c) HICP </w:t>
            </w:r>
          </w:p>
        </w:tc>
        <w:tc>
          <w:tcPr>
            <w:tcW w:w="2608" w:type="pct"/>
          </w:tcPr>
          <w:p w14:paraId="28500964" w14:textId="77777777" w:rsidR="00154887" w:rsidRPr="00154887" w:rsidRDefault="00154887" w:rsidP="00154887">
            <w:pPr>
              <w:pStyle w:val="Chartright-Picture"/>
              <w:rPr>
                <w:rStyle w:val="Duochart-informativetitle"/>
              </w:rPr>
            </w:pPr>
            <w:r w:rsidRPr="005D23FB">
              <w:rPr>
                <w:rStyle w:val="Duochart-informativetitle"/>
              </w:rPr>
              <w:t>d) HICP - excluding energy and food</w:t>
            </w:r>
          </w:p>
        </w:tc>
      </w:tr>
      <w:tr w:rsidR="00154887" w:rsidRPr="005D23FB" w14:paraId="0D3C36ED" w14:textId="77777777" w:rsidTr="005D23FB">
        <w:trPr>
          <w:trHeight w:val="169"/>
        </w:trPr>
        <w:tc>
          <w:tcPr>
            <w:tcW w:w="2392" w:type="pct"/>
          </w:tcPr>
          <w:p w14:paraId="078793CB" w14:textId="77777777" w:rsidR="00154887" w:rsidRPr="00154887" w:rsidRDefault="00154887" w:rsidP="00154887">
            <w:pPr>
              <w:pStyle w:val="Chartright-Picture"/>
            </w:pPr>
            <w:r w:rsidRPr="000E1467">
              <w:t>(</w:t>
            </w:r>
            <w:r w:rsidRPr="00154887">
              <w:t>annual percentage changes)</w:t>
            </w:r>
          </w:p>
        </w:tc>
        <w:tc>
          <w:tcPr>
            <w:tcW w:w="2608" w:type="pct"/>
          </w:tcPr>
          <w:p w14:paraId="773D7EF3" w14:textId="77777777" w:rsidR="00154887" w:rsidRPr="00154887" w:rsidRDefault="00154887" w:rsidP="00154887">
            <w:pPr>
              <w:pStyle w:val="Chartright-Picture"/>
            </w:pPr>
            <w:r w:rsidRPr="000E1467">
              <w:t>(</w:t>
            </w:r>
            <w:r w:rsidRPr="00154887">
              <w:t>annual percentage changes)</w:t>
            </w:r>
          </w:p>
        </w:tc>
      </w:tr>
      <w:tr w:rsidR="00154887" w:rsidRPr="005D23FB" w14:paraId="6184A154" w14:textId="77777777" w:rsidTr="005D23FB">
        <w:trPr>
          <w:trHeight w:val="2726"/>
        </w:trPr>
        <w:tc>
          <w:tcPr>
            <w:tcW w:w="2392" w:type="pct"/>
          </w:tcPr>
          <w:p w14:paraId="5A13E54F" w14:textId="77777777" w:rsidR="00154887" w:rsidRPr="00154887" w:rsidRDefault="00154887" w:rsidP="00154887">
            <w:pPr>
              <w:pStyle w:val="Chartright-Picture"/>
            </w:pPr>
            <w:r w:rsidRPr="00154887">
              <w:rPr>
                <w:noProof/>
              </w:rPr>
              <w:drawing>
                <wp:inline distT="0" distB="0" distL="0" distR="0" wp14:anchorId="49D9A632" wp14:editId="3DC9BB3F">
                  <wp:extent cx="2231390" cy="2091055"/>
                  <wp:effectExtent l="0" t="0" r="0" b="4445"/>
                  <wp:docPr id="1124440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1390" cy="2091055"/>
                          </a:xfrm>
                          <a:prstGeom prst="rect">
                            <a:avLst/>
                          </a:prstGeom>
                          <a:noFill/>
                        </pic:spPr>
                      </pic:pic>
                    </a:graphicData>
                  </a:graphic>
                </wp:inline>
              </w:drawing>
            </w:r>
          </w:p>
        </w:tc>
        <w:tc>
          <w:tcPr>
            <w:tcW w:w="2608" w:type="pct"/>
          </w:tcPr>
          <w:p w14:paraId="4850DEEA" w14:textId="77777777" w:rsidR="00154887" w:rsidRPr="00154887" w:rsidRDefault="00154887" w:rsidP="00154887">
            <w:pPr>
              <w:pStyle w:val="Chartright-Picture"/>
            </w:pPr>
            <w:r w:rsidRPr="00154887">
              <w:rPr>
                <w:noProof/>
              </w:rPr>
              <w:drawing>
                <wp:inline distT="0" distB="0" distL="0" distR="0" wp14:anchorId="7F213168" wp14:editId="37715499">
                  <wp:extent cx="2231390" cy="2091055"/>
                  <wp:effectExtent l="0" t="0" r="0" b="4445"/>
                  <wp:docPr id="11028718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1390" cy="2091055"/>
                          </a:xfrm>
                          <a:prstGeom prst="rect">
                            <a:avLst/>
                          </a:prstGeom>
                          <a:noFill/>
                        </pic:spPr>
                      </pic:pic>
                    </a:graphicData>
                  </a:graphic>
                </wp:inline>
              </w:drawing>
            </w:r>
          </w:p>
        </w:tc>
      </w:tr>
      <w:tr w:rsidR="00154887" w:rsidRPr="005D23FB" w14:paraId="335D8473" w14:textId="77777777" w:rsidTr="005D23FB">
        <w:trPr>
          <w:trHeight w:val="80"/>
        </w:trPr>
        <w:tc>
          <w:tcPr>
            <w:tcW w:w="2392" w:type="pct"/>
          </w:tcPr>
          <w:p w14:paraId="382E0A0E" w14:textId="77777777" w:rsidR="00154887" w:rsidRPr="00154887" w:rsidRDefault="00154887" w:rsidP="00154887">
            <w:pPr>
              <w:pStyle w:val="Chartright-Picture"/>
              <w:rPr>
                <w:rStyle w:val="Duochart-informativetitle"/>
              </w:rPr>
            </w:pPr>
            <w:r w:rsidRPr="005D23FB">
              <w:rPr>
                <w:rStyle w:val="Duochart-informativetitle"/>
              </w:rPr>
              <w:t xml:space="preserve">e) HICP energy </w:t>
            </w:r>
          </w:p>
        </w:tc>
        <w:tc>
          <w:tcPr>
            <w:tcW w:w="2608" w:type="pct"/>
          </w:tcPr>
          <w:p w14:paraId="59447C33" w14:textId="77777777" w:rsidR="00154887" w:rsidRPr="00154887" w:rsidRDefault="00154887" w:rsidP="00154887">
            <w:pPr>
              <w:pStyle w:val="Chartright-Picture"/>
              <w:rPr>
                <w:rStyle w:val="Duochart-informativetitle"/>
              </w:rPr>
            </w:pPr>
            <w:r w:rsidRPr="005D23FB">
              <w:rPr>
                <w:rStyle w:val="Duochart-informativetitle"/>
              </w:rPr>
              <w:t>f) Compensation per employee</w:t>
            </w:r>
          </w:p>
        </w:tc>
      </w:tr>
      <w:tr w:rsidR="00154887" w:rsidRPr="005D23FB" w14:paraId="5A079F6B" w14:textId="77777777" w:rsidTr="005D23FB">
        <w:trPr>
          <w:trHeight w:val="80"/>
        </w:trPr>
        <w:tc>
          <w:tcPr>
            <w:tcW w:w="2392" w:type="pct"/>
          </w:tcPr>
          <w:p w14:paraId="25AEF40A" w14:textId="77777777" w:rsidR="00154887" w:rsidRPr="00154887" w:rsidRDefault="00154887" w:rsidP="00154887">
            <w:pPr>
              <w:pStyle w:val="Chartright-Picture"/>
            </w:pPr>
            <w:r w:rsidRPr="000E1467">
              <w:t>(</w:t>
            </w:r>
            <w:r w:rsidRPr="00154887">
              <w:t>annual percentage changes)</w:t>
            </w:r>
          </w:p>
        </w:tc>
        <w:tc>
          <w:tcPr>
            <w:tcW w:w="2608" w:type="pct"/>
          </w:tcPr>
          <w:p w14:paraId="43D4E951" w14:textId="77777777" w:rsidR="00154887" w:rsidRPr="00154887" w:rsidRDefault="00154887" w:rsidP="00154887">
            <w:pPr>
              <w:pStyle w:val="Chartright-Picture"/>
            </w:pPr>
            <w:r w:rsidRPr="000E1467">
              <w:t>(</w:t>
            </w:r>
            <w:r w:rsidRPr="00154887">
              <w:t>annual percentage changes)</w:t>
            </w:r>
          </w:p>
        </w:tc>
      </w:tr>
      <w:tr w:rsidR="00154887" w:rsidRPr="005D23FB" w14:paraId="7FD09F4B" w14:textId="77777777" w:rsidTr="005D23FB">
        <w:trPr>
          <w:trHeight w:val="2305"/>
        </w:trPr>
        <w:tc>
          <w:tcPr>
            <w:tcW w:w="2392" w:type="pct"/>
          </w:tcPr>
          <w:p w14:paraId="717BA149" w14:textId="77777777" w:rsidR="00154887" w:rsidRPr="00154887" w:rsidRDefault="00154887" w:rsidP="00154887">
            <w:pPr>
              <w:pStyle w:val="Chartright-Picture"/>
            </w:pPr>
            <w:r w:rsidRPr="00154887">
              <w:rPr>
                <w:noProof/>
              </w:rPr>
              <w:drawing>
                <wp:inline distT="0" distB="0" distL="0" distR="0" wp14:anchorId="11C74821" wp14:editId="2526C599">
                  <wp:extent cx="2231390" cy="2091055"/>
                  <wp:effectExtent l="0" t="0" r="0" b="4445"/>
                  <wp:docPr id="10315067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1390" cy="2091055"/>
                          </a:xfrm>
                          <a:prstGeom prst="rect">
                            <a:avLst/>
                          </a:prstGeom>
                          <a:noFill/>
                        </pic:spPr>
                      </pic:pic>
                    </a:graphicData>
                  </a:graphic>
                </wp:inline>
              </w:drawing>
            </w:r>
          </w:p>
        </w:tc>
        <w:tc>
          <w:tcPr>
            <w:tcW w:w="2608" w:type="pct"/>
          </w:tcPr>
          <w:p w14:paraId="2EE7706C" w14:textId="77777777" w:rsidR="00154887" w:rsidRPr="00154887" w:rsidRDefault="00154887" w:rsidP="00154887">
            <w:pPr>
              <w:pStyle w:val="Chartright-Picture"/>
            </w:pPr>
            <w:r w:rsidRPr="00154887">
              <w:rPr>
                <w:noProof/>
              </w:rPr>
              <w:drawing>
                <wp:inline distT="0" distB="0" distL="0" distR="0" wp14:anchorId="5B774D7B" wp14:editId="0AE44BCB">
                  <wp:extent cx="2231390" cy="2091055"/>
                  <wp:effectExtent l="0" t="0" r="0" b="4445"/>
                  <wp:docPr id="108745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1390" cy="2091055"/>
                          </a:xfrm>
                          <a:prstGeom prst="rect">
                            <a:avLst/>
                          </a:prstGeom>
                          <a:noFill/>
                        </pic:spPr>
                      </pic:pic>
                    </a:graphicData>
                  </a:graphic>
                </wp:inline>
              </w:drawing>
            </w:r>
          </w:p>
        </w:tc>
      </w:tr>
    </w:tbl>
    <w:p w14:paraId="017C0C11" w14:textId="77777777" w:rsidR="00154887" w:rsidRPr="00260DAB" w:rsidRDefault="00154887" w:rsidP="00260DAB">
      <w:pPr>
        <w:pStyle w:val="Chartright-SourcesNotes"/>
      </w:pPr>
      <w:r w:rsidRPr="00260DAB">
        <w:t>Source: ECB staff calculations based on ECB-BASE model simulations.</w:t>
      </w:r>
    </w:p>
    <w:p w14:paraId="0EE7998F" w14:textId="77777777" w:rsidR="00154887" w:rsidRDefault="00154887" w:rsidP="002416A3">
      <w:r w:rsidRPr="00012A47">
        <w:rPr>
          <w:rStyle w:val="IntenseEmphasis"/>
        </w:rPr>
        <w:lastRenderedPageBreak/>
        <w:t xml:space="preserve">Stronger transmission mechanisms not only increase the initial inflation response but also </w:t>
      </w:r>
      <w:r>
        <w:rPr>
          <w:rStyle w:val="IntenseEmphasis"/>
        </w:rPr>
        <w:t>imply</w:t>
      </w:r>
      <w:r w:rsidRPr="00012A47">
        <w:rPr>
          <w:rStyle w:val="IntenseEmphasis"/>
        </w:rPr>
        <w:t xml:space="preserve"> more persistent price dynamics over the projection horizon.</w:t>
      </w:r>
      <w:r w:rsidRPr="00012A47">
        <w:t xml:space="preserve"> While the direct energy </w:t>
      </w:r>
      <w:r>
        <w:t xml:space="preserve">price </w:t>
      </w:r>
      <w:r w:rsidRPr="00012A47">
        <w:t xml:space="preserve">shock </w:t>
      </w:r>
      <w:r>
        <w:t xml:space="preserve">is the </w:t>
      </w:r>
      <w:r w:rsidRPr="00012A47">
        <w:t>primary drive</w:t>
      </w:r>
      <w:r>
        <w:t>r of</w:t>
      </w:r>
      <w:r w:rsidRPr="00012A47">
        <w:t xml:space="preserve"> the short-term increase in inflation, stronger pass-through to food prices and the presence of second-round mechanisms contribute to more sustained inflationary pressures in the second and third year</w:t>
      </w:r>
      <w:r>
        <w:t xml:space="preserve"> of the projection horizon</w:t>
      </w:r>
      <w:r w:rsidRPr="00012A47">
        <w:t xml:space="preserve">. Without these amplification mechanisms, the inflation response would be more limited both initially </w:t>
      </w:r>
      <w:r>
        <w:t>– owing</w:t>
      </w:r>
      <w:r w:rsidRPr="00012A47">
        <w:t xml:space="preserve"> to weaker pass-through </w:t>
      </w:r>
      <w:r>
        <w:t>–</w:t>
      </w:r>
      <w:r w:rsidRPr="00012A47">
        <w:t xml:space="preserve"> and in </w:t>
      </w:r>
      <w:r>
        <w:t>later</w:t>
      </w:r>
      <w:r w:rsidRPr="00012A47">
        <w:t xml:space="preserve"> years, as base effects from declining energy prices would lead </w:t>
      </w:r>
      <w:r>
        <w:t xml:space="preserve">to a faster drop in </w:t>
      </w:r>
      <w:r w:rsidRPr="00012A47">
        <w:t xml:space="preserve">inflation. By contrast, stronger food price reactions and indirect and second-round effects raise </w:t>
      </w:r>
      <w:r w:rsidRPr="00230E46">
        <w:t>HICPX price inflation pressures</w:t>
      </w:r>
      <w:r>
        <w:t xml:space="preserve"> </w:t>
      </w:r>
      <w:r w:rsidRPr="00012A47">
        <w:t xml:space="preserve">and generate a more persistent increase in headline inflation, </w:t>
      </w:r>
      <w:r>
        <w:t>also as the</w:t>
      </w:r>
      <w:r w:rsidRPr="00012A47">
        <w:t xml:space="preserve"> increase in wage growth</w:t>
      </w:r>
      <w:r>
        <w:t xml:space="preserve"> is protracted</w:t>
      </w:r>
      <w:r w:rsidRPr="00012A47">
        <w:t>.</w:t>
      </w:r>
      <w:r>
        <w:rPr>
          <w:rStyle w:val="FootnoteReference"/>
        </w:rPr>
        <w:footnoteReference w:id="20"/>
      </w:r>
      <w:r w:rsidRPr="00012A47">
        <w:t xml:space="preserve"> On the real side, stronger pass-through initially leads to a larger decline in GDP </w:t>
      </w:r>
      <w:r>
        <w:t xml:space="preserve">growth </w:t>
      </w:r>
      <w:r w:rsidRPr="00012A47">
        <w:t>as higher energy and food prices reduce households’ real incomes and weigh on consumption</w:t>
      </w:r>
      <w:r>
        <w:t>,</w:t>
      </w:r>
      <w:r w:rsidRPr="00012A47">
        <w:t xml:space="preserve"> </w:t>
      </w:r>
      <w:r>
        <w:t>in part</w:t>
      </w:r>
      <w:r w:rsidRPr="00012A47">
        <w:t xml:space="preserve"> via higher unemployment. In later years, however, stronger wage growth </w:t>
      </w:r>
      <w:r>
        <w:t>would provide some</w:t>
      </w:r>
      <w:r w:rsidRPr="00012A47">
        <w:t xml:space="preserve"> support</w:t>
      </w:r>
      <w:r>
        <w:t xml:space="preserve"> to</w:t>
      </w:r>
      <w:r w:rsidRPr="00012A47">
        <w:t xml:space="preserve"> household income</w:t>
      </w:r>
      <w:r>
        <w:t>s</w:t>
      </w:r>
      <w:r w:rsidRPr="00012A47">
        <w:t xml:space="preserve"> and consumption, moderating the negative </w:t>
      </w:r>
      <w:r>
        <w:t xml:space="preserve">effects on </w:t>
      </w:r>
      <w:r w:rsidRPr="00012A47">
        <w:t xml:space="preserve">GDP </w:t>
      </w:r>
      <w:r>
        <w:t>growth</w:t>
      </w:r>
      <w:r w:rsidRPr="00012A47">
        <w:t xml:space="preserve">. In addition, higher inflation expectations </w:t>
      </w:r>
      <w:r>
        <w:t xml:space="preserve">would </w:t>
      </w:r>
      <w:r w:rsidRPr="00012A47">
        <w:t xml:space="preserve">reduce real interest rates, which </w:t>
      </w:r>
      <w:r>
        <w:t xml:space="preserve">would </w:t>
      </w:r>
      <w:r w:rsidRPr="00012A47">
        <w:t xml:space="preserve">also support investment in the </w:t>
      </w:r>
      <w:r>
        <w:t>later</w:t>
      </w:r>
      <w:r w:rsidRPr="00012A47">
        <w:t xml:space="preserve"> years of the projection horizon.</w:t>
      </w:r>
    </w:p>
    <w:p w14:paraId="65FAAAF6" w14:textId="77777777" w:rsidR="00154887" w:rsidRPr="00821B34" w:rsidRDefault="00154887" w:rsidP="00154887">
      <w:pPr>
        <w:pStyle w:val="Heading2"/>
      </w:pPr>
      <w:bookmarkStart w:id="12" w:name="_Toc224823019"/>
      <w:r>
        <w:t xml:space="preserve">Caveats to the </w:t>
      </w:r>
      <w:r w:rsidRPr="00821B34">
        <w:t>scenario</w:t>
      </w:r>
      <w:r>
        <w:t xml:space="preserve"> analysi</w:t>
      </w:r>
      <w:r w:rsidRPr="00821B34">
        <w:t>s</w:t>
      </w:r>
      <w:bookmarkEnd w:id="12"/>
    </w:p>
    <w:p w14:paraId="5C7D848E" w14:textId="77777777" w:rsidR="00154887" w:rsidRDefault="00154887" w:rsidP="000546FF">
      <w:r>
        <w:rPr>
          <w:rStyle w:val="IntenseEmphasis"/>
        </w:rPr>
        <w:t>Th</w:t>
      </w:r>
      <w:r w:rsidRPr="00821B34">
        <w:rPr>
          <w:rStyle w:val="IntenseEmphasis"/>
        </w:rPr>
        <w:t>e</w:t>
      </w:r>
      <w:r>
        <w:rPr>
          <w:rStyle w:val="IntenseEmphasis"/>
        </w:rPr>
        <w:t>se</w:t>
      </w:r>
      <w:r w:rsidRPr="00821B34">
        <w:rPr>
          <w:rStyle w:val="IntenseEmphasis"/>
        </w:rPr>
        <w:t xml:space="preserve"> scenario analys</w:t>
      </w:r>
      <w:r>
        <w:rPr>
          <w:rStyle w:val="IntenseEmphasis"/>
        </w:rPr>
        <w:t>e</w:t>
      </w:r>
      <w:r w:rsidRPr="00821B34">
        <w:rPr>
          <w:rStyle w:val="IntenseEmphasis"/>
        </w:rPr>
        <w:t>s</w:t>
      </w:r>
      <w:r>
        <w:rPr>
          <w:rStyle w:val="IntenseEmphasis"/>
        </w:rPr>
        <w:t xml:space="preserve"> do not include any monetary or fiscal policy responses, which would mitigate the inflation impacts, as well as other channels that could affect </w:t>
      </w:r>
      <w:r w:rsidRPr="00821B34">
        <w:rPr>
          <w:rStyle w:val="IntenseEmphasis"/>
        </w:rPr>
        <w:t xml:space="preserve">the macroeconomic </w:t>
      </w:r>
      <w:r>
        <w:rPr>
          <w:rStyle w:val="IntenseEmphasis"/>
        </w:rPr>
        <w:t>impact</w:t>
      </w:r>
      <w:r w:rsidRPr="00821B34">
        <w:rPr>
          <w:rStyle w:val="IntenseEmphasis"/>
        </w:rPr>
        <w:t>.</w:t>
      </w:r>
      <w:r>
        <w:t xml:space="preserve"> As is the standard convention for scenario analyses in the staff projections, the scenarios assume monetary and fiscal policy are unchanged compared with the baseline. The significant increases in inflation, especially under the severe scenario, would likely be partly offset by tighter monetary policy or fiscal support measures which could lower consumer energy prices – as was seen in the 2022-23 episode of high inflation. Other channels not explicitly included in the analyses comprise </w:t>
      </w:r>
      <w:r w:rsidRPr="000F4A32">
        <w:t>disrupt</w:t>
      </w:r>
      <w:r>
        <w:t>ions to</w:t>
      </w:r>
      <w:r w:rsidRPr="000F4A32">
        <w:t xml:space="preserve"> </w:t>
      </w:r>
      <w:r>
        <w:t xml:space="preserve">non-energy </w:t>
      </w:r>
      <w:r w:rsidRPr="000F4A32">
        <w:t>trade</w:t>
      </w:r>
      <w:r>
        <w:t xml:space="preserve"> via supply constraints;</w:t>
      </w:r>
      <w:r w:rsidRPr="000F4A32">
        <w:t xml:space="preserve"> </w:t>
      </w:r>
      <w:r>
        <w:t xml:space="preserve">non-energy commodity price effects such as on fertiliser or aluminium prices; possible positive impacts on tourism in euro area countries which could benefit from tourism that would otherwise have flowed to the Middle East; and effects stemming from migration pressures related to a potential </w:t>
      </w:r>
      <w:r w:rsidRPr="000F4A32">
        <w:t>refugee</w:t>
      </w:r>
      <w:r>
        <w:t xml:space="preserve"> crisis.</w:t>
      </w:r>
    </w:p>
    <w:p w14:paraId="169076AB" w14:textId="2FF60FA5" w:rsidR="00E24F39" w:rsidRPr="00183FF1" w:rsidRDefault="00E24F39" w:rsidP="008345AD">
      <w:pPr>
        <w:pStyle w:val="Heading1"/>
      </w:pPr>
      <w:bookmarkStart w:id="13" w:name="_Toc224823020"/>
      <w:r w:rsidRPr="00183FF1">
        <w:lastRenderedPageBreak/>
        <w:t>Sensitivity analyses</w:t>
      </w:r>
      <w:bookmarkEnd w:id="13"/>
    </w:p>
    <w:p w14:paraId="3F253365" w14:textId="77777777" w:rsidR="00E24F39" w:rsidRDefault="00E24F39" w:rsidP="008345AD">
      <w:pPr>
        <w:pStyle w:val="Heading2"/>
      </w:pPr>
      <w:bookmarkStart w:id="14" w:name="_Toc224823021"/>
      <w:r>
        <w:t>A</w:t>
      </w:r>
      <w:r w:rsidRPr="001C12C3">
        <w:t>lternative energy price paths</w:t>
      </w:r>
      <w:bookmarkEnd w:id="14"/>
    </w:p>
    <w:p w14:paraId="11318927" w14:textId="37127193" w:rsidR="00E24F39" w:rsidRPr="001C12C3" w:rsidRDefault="00E24F39" w:rsidP="00C0086D">
      <w:r w:rsidRPr="001C12C3">
        <w:rPr>
          <w:rStyle w:val="IntenseEmphasis"/>
        </w:rPr>
        <w:t xml:space="preserve">Alternative paths for </w:t>
      </w:r>
      <w:r>
        <w:rPr>
          <w:rStyle w:val="IntenseEmphasis"/>
        </w:rPr>
        <w:t>energy</w:t>
      </w:r>
      <w:r w:rsidRPr="001C12C3">
        <w:rPr>
          <w:rStyle w:val="IntenseEmphasis"/>
        </w:rPr>
        <w:t xml:space="preserve"> commodity prices suggest </w:t>
      </w:r>
      <w:r>
        <w:rPr>
          <w:rStyle w:val="IntenseEmphasis"/>
        </w:rPr>
        <w:t xml:space="preserve">significant </w:t>
      </w:r>
      <w:r w:rsidRPr="001C12C3">
        <w:rPr>
          <w:rStyle w:val="IntenseEmphasis"/>
        </w:rPr>
        <w:t>upside risks for inflation</w:t>
      </w:r>
      <w:r>
        <w:rPr>
          <w:rStyle w:val="IntenseEmphasis"/>
        </w:rPr>
        <w:t xml:space="preserve"> in the baseline projections, especially in the short term</w:t>
      </w:r>
      <w:r w:rsidRPr="001C12C3">
        <w:rPr>
          <w:rStyle w:val="IntenseEmphasis"/>
        </w:rPr>
        <w:t>.</w:t>
      </w:r>
      <w:r w:rsidRPr="001C12C3">
        <w:t xml:space="preserve"> </w:t>
      </w:r>
      <w:r>
        <w:t>T</w:t>
      </w:r>
      <w:r w:rsidRPr="001C12C3">
        <w:t xml:space="preserve">he </w:t>
      </w:r>
      <w:r>
        <w:t xml:space="preserve">baseline </w:t>
      </w:r>
      <w:r w:rsidRPr="001C12C3">
        <w:t>projections are based on the technical assumptions outlined in</w:t>
      </w:r>
      <w:r>
        <w:t xml:space="preserve"> </w:t>
      </w:r>
      <w:r w:rsidRPr="00780978">
        <w:rPr>
          <w:rStyle w:val="IntenseEmphasis"/>
        </w:rPr>
        <w:t>Box 2</w:t>
      </w:r>
      <w:r>
        <w:t xml:space="preserve">. Given the </w:t>
      </w:r>
      <w:r w:rsidR="00240E29">
        <w:t>high</w:t>
      </w:r>
      <w:r>
        <w:t xml:space="preserve"> uncertainty surrounding energy prices on account of the ongoing war in the Middle East, in addition to the 25th and 75th percentiles usually applied, this sensitivity analysis also considers </w:t>
      </w:r>
      <w:r w:rsidRPr="001C12C3">
        <w:t xml:space="preserve">alternative upside </w:t>
      </w:r>
      <w:r>
        <w:t xml:space="preserve">and downside </w:t>
      </w:r>
      <w:r w:rsidRPr="001C12C3">
        <w:t xml:space="preserve">paths derived from the </w:t>
      </w:r>
      <w:r>
        <w:t xml:space="preserve">5th </w:t>
      </w:r>
      <w:r w:rsidRPr="001C12C3">
        <w:t xml:space="preserve">and </w:t>
      </w:r>
      <w:r>
        <w:t>95</w:t>
      </w:r>
      <w:r w:rsidRPr="001C12C3">
        <w:t>th percentiles of the option-implied neutral densities for both oil and gas prices.</w:t>
      </w:r>
      <w:r w:rsidRPr="0037254C">
        <w:rPr>
          <w:rStyle w:val="FootnoteReference"/>
        </w:rPr>
        <w:footnoteReference w:id="21"/>
      </w:r>
      <w:r w:rsidRPr="001C12C3">
        <w:t xml:space="preserve"> </w:t>
      </w:r>
      <w:r w:rsidRPr="00496233">
        <w:t>Option-implied densities indicate that short-term risks to oil prices are</w:t>
      </w:r>
      <w:r>
        <w:t xml:space="preserve"> strongly</w:t>
      </w:r>
      <w:r w:rsidRPr="00496233">
        <w:t xml:space="preserve"> skewed to the upside</w:t>
      </w:r>
      <w:r>
        <w:t>.</w:t>
      </w:r>
      <w:r w:rsidRPr="005319E7">
        <w:t xml:space="preserve"> </w:t>
      </w:r>
      <w:r>
        <w:t>This reflects investor</w:t>
      </w:r>
      <w:r w:rsidR="00240E29">
        <w:t>s</w:t>
      </w:r>
      <w:r>
        <w:t xml:space="preserve">’ </w:t>
      </w:r>
      <w:r w:rsidRPr="005319E7">
        <w:t xml:space="preserve">concerns that oil flows through the Strait of Hormuz, which account for around 20% of global supply and are already </w:t>
      </w:r>
      <w:r>
        <w:t xml:space="preserve">being </w:t>
      </w:r>
      <w:r w:rsidRPr="005319E7">
        <w:t xml:space="preserve">disrupted, could be </w:t>
      </w:r>
      <w:r>
        <w:t>i</w:t>
      </w:r>
      <w:r w:rsidRPr="005319E7">
        <w:t>mpeded</w:t>
      </w:r>
      <w:r>
        <w:t xml:space="preserve"> over a prolonged period</w:t>
      </w:r>
      <w:r w:rsidRPr="005319E7">
        <w:t>, with limited possibilities for rerouting shipments</w:t>
      </w:r>
      <w:r>
        <w:t xml:space="preserve"> in the short term </w:t>
      </w:r>
      <w:r w:rsidRPr="001C12C3">
        <w:t>(</w:t>
      </w:r>
      <w:r>
        <w:rPr>
          <w:rStyle w:val="IntenseEmphasis"/>
        </w:rPr>
        <w:fldChar w:fldCharType="begin"/>
      </w:r>
      <w:r>
        <w:instrText xml:space="preserve"> REF _Ref167182978 \h </w:instrText>
      </w:r>
      <w:r>
        <w:rPr>
          <w:rStyle w:val="IntenseEmphasis"/>
        </w:rPr>
      </w:r>
      <w:r>
        <w:rPr>
          <w:rStyle w:val="IntenseEmphasis"/>
        </w:rPr>
        <w:fldChar w:fldCharType="separate"/>
      </w:r>
      <w:r w:rsidR="004D705B" w:rsidRPr="00C565B1">
        <w:rPr>
          <w:rStyle w:val="IntenseEmphasis"/>
        </w:rPr>
        <w:t xml:space="preserve">Chart </w:t>
      </w:r>
      <w:r w:rsidR="004D705B">
        <w:rPr>
          <w:rStyle w:val="IntenseEmphasis"/>
          <w:noProof/>
        </w:rPr>
        <w:t>16</w:t>
      </w:r>
      <w:r>
        <w:rPr>
          <w:rStyle w:val="IntenseEmphasis"/>
        </w:rPr>
        <w:fldChar w:fldCharType="end"/>
      </w:r>
      <w:r w:rsidRPr="001C12C3">
        <w:t>)</w:t>
      </w:r>
      <w:r w:rsidRPr="005319E7">
        <w:t xml:space="preserve">. In such a </w:t>
      </w:r>
      <w:r>
        <w:t>situation</w:t>
      </w:r>
      <w:r w:rsidRPr="005319E7">
        <w:t xml:space="preserve">, </w:t>
      </w:r>
      <w:r>
        <w:t xml:space="preserve">oil </w:t>
      </w:r>
      <w:r w:rsidRPr="005319E7">
        <w:t>production</w:t>
      </w:r>
      <w:r>
        <w:t xml:space="preserve"> itself</w:t>
      </w:r>
      <w:r w:rsidRPr="005319E7">
        <w:t xml:space="preserve"> could eventually be </w:t>
      </w:r>
      <w:r>
        <w:t>scaled back</w:t>
      </w:r>
      <w:r w:rsidRPr="005319E7">
        <w:t xml:space="preserve"> owing to insufficient storage capacity. In addition, </w:t>
      </w:r>
      <w:r>
        <w:t>market participants</w:t>
      </w:r>
      <w:r w:rsidRPr="005319E7">
        <w:t xml:space="preserve"> are also concerned that military strikes could damage regional oil production capacity, with more persistent effects</w:t>
      </w:r>
      <w:r w:rsidRPr="00231A11">
        <w:t>.</w:t>
      </w:r>
      <w:r>
        <w:t xml:space="preserve"> </w:t>
      </w:r>
      <w:r w:rsidRPr="005319E7">
        <w:t xml:space="preserve">By contrast, risk perceptions over longer horizons remain </w:t>
      </w:r>
      <w:r>
        <w:t xml:space="preserve">slightly </w:t>
      </w:r>
      <w:r w:rsidRPr="005319E7">
        <w:t xml:space="preserve">more balanced, which may </w:t>
      </w:r>
      <w:r>
        <w:t>suggest</w:t>
      </w:r>
      <w:r w:rsidRPr="005319E7">
        <w:t xml:space="preserve"> that investors expect the conflict to remain contained. Option-implied densities also point to elevated upside risks for gas prices, </w:t>
      </w:r>
      <w:r>
        <w:t>given that</w:t>
      </w:r>
      <w:r w:rsidRPr="005319E7">
        <w:t xml:space="preserve"> around 20% of global LNG flows transit through the Strait of Hormuz. In percentage terms relative to the baseline, upside risks to gas prices appear </w:t>
      </w:r>
      <w:r>
        <w:t xml:space="preserve">to be </w:t>
      </w:r>
      <w:r w:rsidRPr="005319E7">
        <w:t>more pronounced than for oil prices, reflecting the current historically low level of European gas inventories</w:t>
      </w:r>
      <w:r w:rsidRPr="001C12C3">
        <w:t xml:space="preserve">. A constant price </w:t>
      </w:r>
      <w:r>
        <w:t>sensitivity analysis</w:t>
      </w:r>
      <w:r w:rsidRPr="001C12C3">
        <w:t xml:space="preserve"> is also </w:t>
      </w:r>
      <w:r>
        <w:t>carried out</w:t>
      </w:r>
      <w:r w:rsidRPr="001C12C3">
        <w:t xml:space="preserve"> for both oil and gas prices. In each case, a synthetic energy price index (a weighted average of the oil and gas price paths) is computed and the impacts are assessed using ECB and </w:t>
      </w:r>
      <w:proofErr w:type="spellStart"/>
      <w:r w:rsidRPr="001C12C3">
        <w:t>Eurosystem</w:t>
      </w:r>
      <w:proofErr w:type="spellEnd"/>
      <w:r w:rsidRPr="001C12C3">
        <w:t xml:space="preserve"> macroeconomic models. The </w:t>
      </w:r>
      <w:r>
        <w:t xml:space="preserve">average </w:t>
      </w:r>
      <w:r w:rsidRPr="001C12C3">
        <w:t xml:space="preserve">results </w:t>
      </w:r>
      <w:r>
        <w:t xml:space="preserve">across these models </w:t>
      </w:r>
      <w:r w:rsidRPr="001C12C3">
        <w:t>are shown in</w:t>
      </w:r>
      <w:r w:rsidR="00C0086D">
        <w:t xml:space="preserve"> </w:t>
      </w:r>
      <w:r w:rsidR="00C0086D">
        <w:fldChar w:fldCharType="begin"/>
      </w:r>
      <w:r w:rsidR="00C0086D">
        <w:instrText xml:space="preserve"> REF _Ref224808280 \h </w:instrText>
      </w:r>
      <w:r w:rsidR="00C0086D">
        <w:fldChar w:fldCharType="separate"/>
      </w:r>
      <w:r w:rsidR="004D705B" w:rsidRPr="00C565B1">
        <w:rPr>
          <w:rStyle w:val="IntenseEmphasis"/>
        </w:rPr>
        <w:t xml:space="preserve">Table </w:t>
      </w:r>
      <w:r w:rsidR="004D705B">
        <w:rPr>
          <w:rStyle w:val="IntenseEmphasis"/>
          <w:noProof/>
        </w:rPr>
        <w:t>6</w:t>
      </w:r>
      <w:r w:rsidR="00C0086D">
        <w:fldChar w:fldCharType="end"/>
      </w:r>
      <w:r>
        <w:t xml:space="preserve">. These results are based on the models run in standard projection modes and exclude any enhanced elasticities relating to indirect and second-round effects, which are included in the Middle East scenarios presented in </w:t>
      </w:r>
      <w:r w:rsidRPr="008345AD">
        <w:rPr>
          <w:rStyle w:val="IntenseEmphasis"/>
        </w:rPr>
        <w:t>Section 3</w:t>
      </w:r>
      <w:r>
        <w:t xml:space="preserve">. </w:t>
      </w:r>
    </w:p>
    <w:p w14:paraId="34676061" w14:textId="0F912473" w:rsidR="00E24F39" w:rsidRDefault="00E24F39" w:rsidP="008345AD">
      <w:pPr>
        <w:pStyle w:val="Chartright-Heading"/>
      </w:pPr>
      <w:r w:rsidRPr="00C565B1">
        <w:rPr>
          <w:rStyle w:val="IntenseEmphasis"/>
        </w:rPr>
        <w:lastRenderedPageBreak/>
        <w:t xml:space="preserve">Chart </w:t>
      </w:r>
      <w:r w:rsidRPr="00C565B1">
        <w:rPr>
          <w:rStyle w:val="IntenseEmphasis"/>
        </w:rPr>
        <w:fldChar w:fldCharType="begin"/>
      </w:r>
      <w:r w:rsidRPr="00C565B1">
        <w:rPr>
          <w:rStyle w:val="IntenseEmphasis"/>
        </w:rPr>
        <w:instrText xml:space="preserve"> SEQ Chart \* ARABIC </w:instrText>
      </w:r>
      <w:r w:rsidRPr="00C565B1">
        <w:rPr>
          <w:rStyle w:val="IntenseEmphasis"/>
        </w:rPr>
        <w:fldChar w:fldCharType="separate"/>
      </w:r>
      <w:r w:rsidR="004D705B">
        <w:rPr>
          <w:rStyle w:val="IntenseEmphasis"/>
          <w:noProof/>
        </w:rPr>
        <w:t>16</w:t>
      </w:r>
      <w:r w:rsidRPr="00C565B1">
        <w:rPr>
          <w:rStyle w:val="IntenseEmphasis"/>
        </w:rPr>
        <w:fldChar w:fldCharType="end"/>
      </w:r>
      <w:r w:rsidRPr="00C565B1">
        <w:rPr>
          <w:rStyle w:val="IntenseEmphasis"/>
        </w:rPr>
        <w:br/>
      </w:r>
      <w:r w:rsidRPr="00C565B1">
        <w:t>Alternative paths for energy price assumptions</w:t>
      </w:r>
    </w:p>
    <w:p w14:paraId="7CE94074" w14:textId="77777777" w:rsidR="00E24F39" w:rsidRDefault="00E24F39" w:rsidP="00804DDD">
      <w:pPr>
        <w:pStyle w:val="Chartright-Informativetitle"/>
      </w:pPr>
      <w:r w:rsidRPr="00804DDD">
        <w:t>a) Oil price assumption</w:t>
      </w:r>
    </w:p>
    <w:p w14:paraId="1B5A8C77" w14:textId="77777777" w:rsidR="00E24F39" w:rsidRDefault="00E24F39" w:rsidP="00804DDD">
      <w:pPr>
        <w:pStyle w:val="Chartright-Measure"/>
      </w:pPr>
      <w:r w:rsidRPr="004D42D6">
        <w:t>(USD/barrel)</w:t>
      </w:r>
    </w:p>
    <w:p w14:paraId="59952FB4" w14:textId="77777777" w:rsidR="00260DAB" w:rsidRPr="00C95D16" w:rsidRDefault="00E24F39" w:rsidP="00260DAB">
      <w:pPr>
        <w:pStyle w:val="Chartright-Picture"/>
      </w:pPr>
      <w:r w:rsidRPr="00625CD0">
        <w:rPr>
          <w:noProof/>
        </w:rPr>
        <w:drawing>
          <wp:inline distT="0" distB="0" distL="0" distR="0" wp14:anchorId="3CD000F2" wp14:editId="12C10F5F">
            <wp:extent cx="4535805" cy="2273935"/>
            <wp:effectExtent l="0" t="0" r="0" b="0"/>
            <wp:docPr id="162292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5805" cy="2273935"/>
                    </a:xfrm>
                    <a:prstGeom prst="rect">
                      <a:avLst/>
                    </a:prstGeom>
                    <a:noFill/>
                  </pic:spPr>
                </pic:pic>
              </a:graphicData>
            </a:graphic>
          </wp:inline>
        </w:drawing>
      </w:r>
    </w:p>
    <w:p w14:paraId="493313C4" w14:textId="5011E544" w:rsidR="00E24F39" w:rsidRPr="00804DDD" w:rsidRDefault="00E24F39" w:rsidP="00260DAB">
      <w:pPr>
        <w:pStyle w:val="Chartright-Picture"/>
        <w:rPr>
          <w:rStyle w:val="Duochart-informativetitle"/>
        </w:rPr>
      </w:pPr>
      <w:r w:rsidRPr="00260DAB">
        <w:br/>
      </w:r>
      <w:r w:rsidRPr="00804DDD">
        <w:rPr>
          <w:rStyle w:val="Duochart-informativetitle"/>
        </w:rPr>
        <w:t>b) Gas price assumption</w:t>
      </w:r>
    </w:p>
    <w:p w14:paraId="478A1627" w14:textId="77777777" w:rsidR="00E24F39" w:rsidRPr="00804DDD" w:rsidRDefault="00E24F39" w:rsidP="00804DDD">
      <w:pPr>
        <w:pStyle w:val="Chartright-Measure"/>
      </w:pPr>
      <w:r w:rsidRPr="00804DDD">
        <w:t>(EUR/MWh)</w:t>
      </w:r>
    </w:p>
    <w:p w14:paraId="1780A8BE" w14:textId="77777777" w:rsidR="00E24F39" w:rsidRDefault="00E24F39" w:rsidP="00804DDD">
      <w:pPr>
        <w:pStyle w:val="Chartright-Picture"/>
      </w:pPr>
      <w:r>
        <w:rPr>
          <w:noProof/>
        </w:rPr>
        <w:drawing>
          <wp:inline distT="0" distB="0" distL="0" distR="0" wp14:anchorId="13776B15" wp14:editId="6753C79D">
            <wp:extent cx="4535805" cy="2268220"/>
            <wp:effectExtent l="0" t="0" r="0" b="0"/>
            <wp:docPr id="168725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35805" cy="2268220"/>
                    </a:xfrm>
                    <a:prstGeom prst="rect">
                      <a:avLst/>
                    </a:prstGeom>
                    <a:noFill/>
                  </pic:spPr>
                </pic:pic>
              </a:graphicData>
            </a:graphic>
          </wp:inline>
        </w:drawing>
      </w:r>
    </w:p>
    <w:p w14:paraId="3DD63AF2" w14:textId="77777777" w:rsidR="00E24F39" w:rsidRPr="001018F7" w:rsidRDefault="00E24F39" w:rsidP="008345AD">
      <w:pPr>
        <w:pStyle w:val="Chartright-SourcesNotes"/>
        <w:rPr>
          <w:rFonts w:eastAsiaTheme="minorEastAsia"/>
        </w:rPr>
      </w:pPr>
      <w:r w:rsidRPr="000E1467">
        <w:t xml:space="preserve">Sources: Morning star and ECB calculations. </w:t>
      </w:r>
      <w:r>
        <w:br/>
      </w:r>
      <w:r w:rsidRPr="000E1467">
        <w:t xml:space="preserve">Note: </w:t>
      </w:r>
      <w:r>
        <w:t>The o</w:t>
      </w:r>
      <w:r w:rsidRPr="000E1467">
        <w:t xml:space="preserve">ption-implied densities of gas and oil prices are extracted from </w:t>
      </w:r>
      <w:r>
        <w:t>11 March</w:t>
      </w:r>
      <w:r w:rsidRPr="000E1467">
        <w:t xml:space="preserve"> 202</w:t>
      </w:r>
      <w:r>
        <w:t>6</w:t>
      </w:r>
      <w:r w:rsidRPr="000E1467">
        <w:t xml:space="preserve"> market quotes </w:t>
      </w:r>
      <w:r>
        <w:t>for</w:t>
      </w:r>
      <w:r w:rsidRPr="000E1467">
        <w:t xml:space="preserve"> options on ICE Brent </w:t>
      </w:r>
      <w:r>
        <w:t>c</w:t>
      </w:r>
      <w:r w:rsidRPr="000E1467">
        <w:t xml:space="preserve">rude </w:t>
      </w:r>
      <w:r>
        <w:t>o</w:t>
      </w:r>
      <w:r w:rsidRPr="000E1467">
        <w:t xml:space="preserve">il and Dutch TTF </w:t>
      </w:r>
      <w:r>
        <w:t>n</w:t>
      </w:r>
      <w:r w:rsidRPr="000E1467">
        <w:t>atural gas futures with fixed quarterly expiry dates.</w:t>
      </w:r>
    </w:p>
    <w:p w14:paraId="5EA0190C" w14:textId="77777777" w:rsidR="00E24F39" w:rsidRDefault="00E24F39">
      <w:pPr>
        <w:rPr>
          <w:rStyle w:val="IntenseEmphasis"/>
          <w:rFonts w:eastAsia="Times New Roman" w:cs="Sendnya"/>
          <w:kern w:val="19"/>
          <w:szCs w:val="22"/>
        </w:rPr>
      </w:pPr>
      <w:r>
        <w:rPr>
          <w:rStyle w:val="IntenseEmphasis"/>
        </w:rPr>
        <w:br w:type="page"/>
      </w:r>
    </w:p>
    <w:p w14:paraId="3EEDD7F9" w14:textId="28C64B06" w:rsidR="00E24F39" w:rsidRDefault="00E24F39" w:rsidP="008345AD">
      <w:pPr>
        <w:pStyle w:val="Chartright-Heading"/>
        <w:pBdr>
          <w:bottom w:val="single" w:sz="4" w:space="0" w:color="003299"/>
        </w:pBdr>
      </w:pPr>
      <w:r w:rsidRPr="00C565B1">
        <w:rPr>
          <w:rStyle w:val="IntenseEmphasis"/>
        </w:rPr>
        <w:lastRenderedPageBreak/>
        <w:t xml:space="preserve">Table </w:t>
      </w:r>
      <w:r w:rsidRPr="00C565B1">
        <w:rPr>
          <w:rStyle w:val="IntenseEmphasis"/>
        </w:rPr>
        <w:fldChar w:fldCharType="begin"/>
      </w:r>
      <w:r w:rsidRPr="00C565B1">
        <w:rPr>
          <w:rStyle w:val="IntenseEmphasis"/>
        </w:rPr>
        <w:instrText xml:space="preserve"> SEQ Table \* ARABIC </w:instrText>
      </w:r>
      <w:r w:rsidRPr="00C565B1">
        <w:rPr>
          <w:rStyle w:val="IntenseEmphasis"/>
        </w:rPr>
        <w:fldChar w:fldCharType="separate"/>
      </w:r>
      <w:r w:rsidR="004D705B">
        <w:rPr>
          <w:rStyle w:val="IntenseEmphasis"/>
          <w:noProof/>
        </w:rPr>
        <w:t>6</w:t>
      </w:r>
      <w:r w:rsidRPr="00C565B1">
        <w:rPr>
          <w:rStyle w:val="IntenseEmphasis"/>
        </w:rPr>
        <w:fldChar w:fldCharType="end"/>
      </w:r>
      <w:r w:rsidRPr="00C04725">
        <w:br/>
      </w:r>
      <w:r w:rsidRPr="00C565B1">
        <w:t>Alternative energy price paths and</w:t>
      </w:r>
      <w:r>
        <w:t xml:space="preserve"> their</w:t>
      </w:r>
      <w:r w:rsidRPr="00C565B1">
        <w:t xml:space="preserve"> impact on real GDP growth and HICP inflation</w:t>
      </w:r>
    </w:p>
    <w:p w14:paraId="4583338A" w14:textId="77777777" w:rsidR="00E24F39" w:rsidRPr="00F1035F" w:rsidRDefault="00E24F39" w:rsidP="00F1035F">
      <w:pPr>
        <w:pStyle w:val="Chartright-Measure"/>
      </w:pPr>
      <w:r w:rsidRPr="00F1035F">
        <w:t>(deviations from baseline levels, percentages</w:t>
      </w:r>
      <w:r>
        <w:t>;</w:t>
      </w:r>
      <w:r w:rsidRPr="00F1035F">
        <w:t xml:space="preserve"> deviations from baseline growth rates, percentage points)</w:t>
      </w:r>
    </w:p>
    <w:tbl>
      <w:tblPr>
        <w:tblStyle w:val="Tablecentrealigned"/>
        <w:tblW w:w="5000" w:type="pct"/>
        <w:tblLayout w:type="fixed"/>
        <w:tblLook w:val="02A0" w:firstRow="1" w:lastRow="0" w:firstColumn="1" w:lastColumn="0" w:noHBand="1" w:noVBand="0"/>
      </w:tblPr>
      <w:tblGrid>
        <w:gridCol w:w="1621"/>
        <w:gridCol w:w="719"/>
        <w:gridCol w:w="962"/>
        <w:gridCol w:w="962"/>
        <w:gridCol w:w="962"/>
        <w:gridCol w:w="962"/>
        <w:gridCol w:w="956"/>
      </w:tblGrid>
      <w:tr w:rsidR="00E24F39" w:rsidRPr="006D3262" w14:paraId="67E649E2" w14:textId="77777777" w:rsidTr="00DA09C4">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638" w:type="pct"/>
            <w:gridSpan w:val="2"/>
          </w:tcPr>
          <w:p w14:paraId="555D04EE"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673" w:type="pct"/>
          </w:tcPr>
          <w:p w14:paraId="6C930975" w14:textId="77777777" w:rsidR="00E24F39" w:rsidRPr="00F1035F" w:rsidRDefault="00E24F39" w:rsidP="00F1035F">
            <w:r w:rsidRPr="00F1035F">
              <w:t>Oil prices</w:t>
            </w:r>
          </w:p>
        </w:tc>
        <w:tc>
          <w:tcPr>
            <w:cnfStyle w:val="000001000000" w:firstRow="0" w:lastRow="0" w:firstColumn="0" w:lastColumn="0" w:oddVBand="0" w:evenVBand="1" w:oddHBand="0" w:evenHBand="0" w:firstRowFirstColumn="0" w:firstRowLastColumn="0" w:lastRowFirstColumn="0" w:lastRowLastColumn="0"/>
            <w:tcW w:w="673" w:type="pct"/>
            <w:noWrap/>
          </w:tcPr>
          <w:p w14:paraId="5FDEB607" w14:textId="77777777" w:rsidR="00E24F39" w:rsidRPr="00F1035F" w:rsidRDefault="00E24F39" w:rsidP="00F1035F">
            <w:r w:rsidRPr="00F1035F">
              <w:t>Gas prices</w:t>
            </w:r>
          </w:p>
        </w:tc>
        <w:tc>
          <w:tcPr>
            <w:cnfStyle w:val="000010000000" w:firstRow="0" w:lastRow="0" w:firstColumn="0" w:lastColumn="0" w:oddVBand="1" w:evenVBand="0" w:oddHBand="0" w:evenHBand="0" w:firstRowFirstColumn="0" w:firstRowLastColumn="0" w:lastRowFirstColumn="0" w:lastRowLastColumn="0"/>
            <w:tcW w:w="673" w:type="pct"/>
            <w:noWrap/>
          </w:tcPr>
          <w:p w14:paraId="7DFA135D" w14:textId="77777777" w:rsidR="00E24F39" w:rsidRPr="00F1035F" w:rsidRDefault="00E24F39" w:rsidP="00F1035F">
            <w:r w:rsidRPr="00F1035F">
              <w:t>Synthetic energy price index</w:t>
            </w:r>
          </w:p>
        </w:tc>
        <w:tc>
          <w:tcPr>
            <w:cnfStyle w:val="000001000000" w:firstRow="0" w:lastRow="0" w:firstColumn="0" w:lastColumn="0" w:oddVBand="0" w:evenVBand="1" w:oddHBand="0" w:evenHBand="0" w:firstRowFirstColumn="0" w:firstRowLastColumn="0" w:lastRowFirstColumn="0" w:lastRowLastColumn="0"/>
            <w:tcW w:w="673" w:type="pct"/>
            <w:noWrap/>
          </w:tcPr>
          <w:p w14:paraId="7DC5DB68" w14:textId="77777777" w:rsidR="00E24F39" w:rsidRPr="00F1035F" w:rsidRDefault="00E24F39" w:rsidP="00F1035F">
            <w:r w:rsidRPr="00F1035F">
              <w:t>Real GDP growth</w:t>
            </w:r>
          </w:p>
        </w:tc>
        <w:tc>
          <w:tcPr>
            <w:cnfStyle w:val="000010000000" w:firstRow="0" w:lastRow="0" w:firstColumn="0" w:lastColumn="0" w:oddVBand="1" w:evenVBand="0" w:oddHBand="0" w:evenHBand="0" w:firstRowFirstColumn="0" w:firstRowLastColumn="0" w:lastRowFirstColumn="0" w:lastRowLastColumn="0"/>
            <w:tcW w:w="669" w:type="pct"/>
          </w:tcPr>
          <w:p w14:paraId="2A7F121A" w14:textId="77777777" w:rsidR="00E24F39" w:rsidRPr="00F1035F" w:rsidRDefault="00E24F39" w:rsidP="00F1035F">
            <w:r w:rsidRPr="00F1035F">
              <w:t>HICP inflation</w:t>
            </w:r>
          </w:p>
        </w:tc>
      </w:tr>
      <w:tr w:rsidR="00E24F39" w:rsidRPr="002F49F2" w14:paraId="04897581"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val="restart"/>
            <w:tcBorders>
              <w:top w:val="single" w:sz="4" w:space="0" w:color="003299"/>
            </w:tcBorders>
          </w:tcPr>
          <w:p w14:paraId="08AD4629" w14:textId="77777777" w:rsidR="00E24F39" w:rsidRPr="00F1035F" w:rsidRDefault="00E24F39" w:rsidP="00F1035F">
            <w:r w:rsidRPr="00F1035F">
              <w:t>Path 1: 5th percentile</w:t>
            </w:r>
          </w:p>
        </w:tc>
        <w:tc>
          <w:tcPr>
            <w:cnfStyle w:val="000010000000" w:firstRow="0" w:lastRow="0" w:firstColumn="0" w:lastColumn="0" w:oddVBand="1" w:evenVBand="0" w:oddHBand="0" w:evenHBand="0" w:firstRowFirstColumn="0" w:firstRowLastColumn="0" w:lastRowFirstColumn="0" w:lastRowLastColumn="0"/>
            <w:tcW w:w="503" w:type="pct"/>
            <w:tcBorders>
              <w:top w:val="single" w:sz="4" w:space="0" w:color="003299"/>
            </w:tcBorders>
            <w:noWrap/>
          </w:tcPr>
          <w:p w14:paraId="7A694B50" w14:textId="77777777" w:rsidR="00E24F39" w:rsidRPr="00601D53" w:rsidDel="005346E4" w:rsidRDefault="00E24F39" w:rsidP="00F1035F">
            <w:pPr>
              <w:pStyle w:val="Tabletext"/>
              <w:rPr>
                <w:rStyle w:val="IntenseEmphasis"/>
              </w:rPr>
            </w:pPr>
            <w:r w:rsidRPr="00601D53">
              <w:rPr>
                <w:rStyle w:val="IntenseEmphasis"/>
              </w:rPr>
              <w:t>2026</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tcPr>
          <w:p w14:paraId="347B33A6" w14:textId="77777777" w:rsidR="00E24F39" w:rsidRPr="00F1035F" w:rsidRDefault="00E24F39" w:rsidP="00F1035F">
            <w:pPr>
              <w:pStyle w:val="Tabletext"/>
            </w:pPr>
            <w:r w:rsidRPr="00F1035F">
              <w:t>-33.3</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75793D3F" w14:textId="77777777" w:rsidR="00E24F39" w:rsidRPr="00F1035F" w:rsidDel="005346E4" w:rsidRDefault="00E24F39" w:rsidP="00F1035F">
            <w:pPr>
              <w:pStyle w:val="Tabletext"/>
            </w:pPr>
            <w:r w:rsidRPr="00F1035F">
              <w:t>-32.1</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noWrap/>
          </w:tcPr>
          <w:p w14:paraId="472F80D7" w14:textId="77777777" w:rsidR="00E24F39" w:rsidRPr="00F1035F" w:rsidDel="005346E4" w:rsidRDefault="00E24F39" w:rsidP="00F1035F">
            <w:pPr>
              <w:pStyle w:val="Tabletext"/>
            </w:pPr>
            <w:r w:rsidRPr="00F1035F">
              <w:t>-32.5</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046E81C4" w14:textId="77777777" w:rsidR="00E24F39" w:rsidRPr="00F1035F" w:rsidDel="005346E4" w:rsidRDefault="00E24F39" w:rsidP="00F1035F">
            <w:pPr>
              <w:pStyle w:val="Tabletext"/>
            </w:pPr>
            <w:r w:rsidRPr="00F1035F">
              <w:t>0.0</w:t>
            </w:r>
          </w:p>
        </w:tc>
        <w:tc>
          <w:tcPr>
            <w:cnfStyle w:val="000001000000" w:firstRow="0" w:lastRow="0" w:firstColumn="0" w:lastColumn="0" w:oddVBand="0" w:evenVBand="1" w:oddHBand="0" w:evenHBand="0" w:firstRowFirstColumn="0" w:firstRowLastColumn="0" w:lastRowFirstColumn="0" w:lastRowLastColumn="0"/>
            <w:tcW w:w="669" w:type="pct"/>
            <w:tcBorders>
              <w:top w:val="single" w:sz="4" w:space="0" w:color="003299"/>
            </w:tcBorders>
          </w:tcPr>
          <w:p w14:paraId="1E74DE86" w14:textId="77777777" w:rsidR="00E24F39" w:rsidRPr="00F1035F" w:rsidRDefault="00E24F39" w:rsidP="00F1035F">
            <w:pPr>
              <w:pStyle w:val="Tabletext"/>
            </w:pPr>
            <w:r w:rsidRPr="00F1035F">
              <w:t>-1.0</w:t>
            </w:r>
          </w:p>
        </w:tc>
      </w:tr>
      <w:tr w:rsidR="00E24F39" w:rsidRPr="002F49F2" w14:paraId="34E2C3EB"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tcPr>
          <w:p w14:paraId="286D7988"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noWrap/>
          </w:tcPr>
          <w:p w14:paraId="0ADC1B92" w14:textId="77777777" w:rsidR="00E24F39" w:rsidRPr="00601D53" w:rsidRDefault="00E24F39" w:rsidP="00F1035F">
            <w:pPr>
              <w:pStyle w:val="Tabletext"/>
              <w:rPr>
                <w:rStyle w:val="IntenseEmphasis"/>
              </w:rPr>
            </w:pPr>
            <w:r w:rsidRPr="00601D53">
              <w:rPr>
                <w:rStyle w:val="IntenseEmphasis"/>
              </w:rPr>
              <w:t>2027</w:t>
            </w:r>
          </w:p>
        </w:tc>
        <w:tc>
          <w:tcPr>
            <w:cnfStyle w:val="000001000000" w:firstRow="0" w:lastRow="0" w:firstColumn="0" w:lastColumn="0" w:oddVBand="0" w:evenVBand="1" w:oddHBand="0" w:evenHBand="0" w:firstRowFirstColumn="0" w:firstRowLastColumn="0" w:lastRowFirstColumn="0" w:lastRowLastColumn="0"/>
            <w:tcW w:w="673" w:type="pct"/>
          </w:tcPr>
          <w:p w14:paraId="391A5641" w14:textId="77777777" w:rsidR="00E24F39" w:rsidRPr="00F1035F" w:rsidRDefault="00E24F39" w:rsidP="00F1035F">
            <w:pPr>
              <w:pStyle w:val="Tabletext"/>
            </w:pPr>
            <w:r w:rsidRPr="00F1035F">
              <w:t>-44.3</w:t>
            </w:r>
          </w:p>
        </w:tc>
        <w:tc>
          <w:tcPr>
            <w:cnfStyle w:val="000010000000" w:firstRow="0" w:lastRow="0" w:firstColumn="0" w:lastColumn="0" w:oddVBand="1" w:evenVBand="0" w:oddHBand="0" w:evenHBand="0" w:firstRowFirstColumn="0" w:firstRowLastColumn="0" w:lastRowFirstColumn="0" w:lastRowLastColumn="0"/>
            <w:tcW w:w="673" w:type="pct"/>
            <w:noWrap/>
          </w:tcPr>
          <w:p w14:paraId="426BC784" w14:textId="77777777" w:rsidR="00E24F39" w:rsidRPr="00F1035F" w:rsidRDefault="00E24F39" w:rsidP="00F1035F">
            <w:pPr>
              <w:pStyle w:val="Tabletext"/>
            </w:pPr>
            <w:r w:rsidRPr="00F1035F">
              <w:t>-43.6</w:t>
            </w:r>
          </w:p>
        </w:tc>
        <w:tc>
          <w:tcPr>
            <w:cnfStyle w:val="000001000000" w:firstRow="0" w:lastRow="0" w:firstColumn="0" w:lastColumn="0" w:oddVBand="0" w:evenVBand="1" w:oddHBand="0" w:evenHBand="0" w:firstRowFirstColumn="0" w:firstRowLastColumn="0" w:lastRowFirstColumn="0" w:lastRowLastColumn="0"/>
            <w:tcW w:w="673" w:type="pct"/>
            <w:noWrap/>
          </w:tcPr>
          <w:p w14:paraId="3BD1ECDE" w14:textId="77777777" w:rsidR="00E24F39" w:rsidRPr="00F1035F" w:rsidRDefault="00E24F39" w:rsidP="00F1035F">
            <w:pPr>
              <w:pStyle w:val="Tabletext"/>
            </w:pPr>
            <w:r w:rsidRPr="00F1035F">
              <w:t>-44.1</w:t>
            </w:r>
          </w:p>
        </w:tc>
        <w:tc>
          <w:tcPr>
            <w:cnfStyle w:val="000010000000" w:firstRow="0" w:lastRow="0" w:firstColumn="0" w:lastColumn="0" w:oddVBand="1" w:evenVBand="0" w:oddHBand="0" w:evenHBand="0" w:firstRowFirstColumn="0" w:firstRowLastColumn="0" w:lastRowFirstColumn="0" w:lastRowLastColumn="0"/>
            <w:tcW w:w="673" w:type="pct"/>
            <w:noWrap/>
          </w:tcPr>
          <w:p w14:paraId="7F78D949" w14:textId="77777777" w:rsidR="00E24F39" w:rsidRPr="00F1035F" w:rsidRDefault="00E24F39" w:rsidP="00F1035F">
            <w:pPr>
              <w:pStyle w:val="Tabletext"/>
            </w:pPr>
            <w:r w:rsidRPr="00F1035F">
              <w:t>0.6</w:t>
            </w:r>
          </w:p>
        </w:tc>
        <w:tc>
          <w:tcPr>
            <w:cnfStyle w:val="000001000000" w:firstRow="0" w:lastRow="0" w:firstColumn="0" w:lastColumn="0" w:oddVBand="0" w:evenVBand="1" w:oddHBand="0" w:evenHBand="0" w:firstRowFirstColumn="0" w:firstRowLastColumn="0" w:lastRowFirstColumn="0" w:lastRowLastColumn="0"/>
            <w:tcW w:w="669" w:type="pct"/>
          </w:tcPr>
          <w:p w14:paraId="5A34C126" w14:textId="77777777" w:rsidR="00E24F39" w:rsidRPr="00F1035F" w:rsidRDefault="00E24F39" w:rsidP="00F1035F">
            <w:pPr>
              <w:pStyle w:val="Tabletext"/>
            </w:pPr>
            <w:r w:rsidRPr="00F1035F">
              <w:t>-1.2</w:t>
            </w:r>
          </w:p>
        </w:tc>
      </w:tr>
      <w:tr w:rsidR="00E24F39" w:rsidRPr="002F49F2" w14:paraId="77BC0D82"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tcBorders>
              <w:bottom w:val="single" w:sz="4" w:space="0" w:color="003299"/>
            </w:tcBorders>
          </w:tcPr>
          <w:p w14:paraId="7A82E489"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tcBorders>
              <w:bottom w:val="single" w:sz="4" w:space="0" w:color="003299"/>
            </w:tcBorders>
            <w:noWrap/>
          </w:tcPr>
          <w:p w14:paraId="0A8657A1" w14:textId="77777777" w:rsidR="00E24F39" w:rsidRPr="00601D53" w:rsidRDefault="00E24F39" w:rsidP="00F1035F">
            <w:pPr>
              <w:pStyle w:val="Tabletext"/>
              <w:rPr>
                <w:rStyle w:val="IntenseEmphasis"/>
              </w:rPr>
            </w:pPr>
            <w:r w:rsidRPr="00601D53">
              <w:rPr>
                <w:rStyle w:val="IntenseEmphasis"/>
              </w:rPr>
              <w:t>2028</w:t>
            </w:r>
          </w:p>
        </w:tc>
        <w:tc>
          <w:tcPr>
            <w:cnfStyle w:val="000001000000" w:firstRow="0" w:lastRow="0" w:firstColumn="0" w:lastColumn="0" w:oddVBand="0" w:evenVBand="1" w:oddHBand="0" w:evenHBand="0" w:firstRowFirstColumn="0" w:firstRowLastColumn="0" w:lastRowFirstColumn="0" w:lastRowLastColumn="0"/>
            <w:tcW w:w="673" w:type="pct"/>
            <w:tcBorders>
              <w:bottom w:val="single" w:sz="4" w:space="0" w:color="003299"/>
            </w:tcBorders>
          </w:tcPr>
          <w:p w14:paraId="5EDC78B4" w14:textId="77777777" w:rsidR="00E24F39" w:rsidRPr="00F1035F" w:rsidRDefault="00E24F39" w:rsidP="00F1035F">
            <w:pPr>
              <w:pStyle w:val="Tabletext"/>
            </w:pPr>
            <w:r w:rsidRPr="00F1035F">
              <w:t>-39.3</w:t>
            </w:r>
          </w:p>
        </w:tc>
        <w:tc>
          <w:tcPr>
            <w:cnfStyle w:val="000010000000" w:firstRow="0" w:lastRow="0" w:firstColumn="0" w:lastColumn="0" w:oddVBand="1" w:evenVBand="0" w:oddHBand="0" w:evenHBand="0" w:firstRowFirstColumn="0" w:firstRowLastColumn="0" w:lastRowFirstColumn="0" w:lastRowLastColumn="0"/>
            <w:tcW w:w="673" w:type="pct"/>
            <w:tcBorders>
              <w:bottom w:val="single" w:sz="4" w:space="0" w:color="003299"/>
            </w:tcBorders>
            <w:noWrap/>
          </w:tcPr>
          <w:p w14:paraId="4B0F7A97" w14:textId="77777777" w:rsidR="00E24F39" w:rsidRPr="00F1035F" w:rsidRDefault="00E24F39" w:rsidP="00F1035F">
            <w:pPr>
              <w:pStyle w:val="Tabletext"/>
            </w:pPr>
            <w:r w:rsidRPr="00F1035F">
              <w:t>-55.1</w:t>
            </w:r>
          </w:p>
        </w:tc>
        <w:tc>
          <w:tcPr>
            <w:cnfStyle w:val="000001000000" w:firstRow="0" w:lastRow="0" w:firstColumn="0" w:lastColumn="0" w:oddVBand="0" w:evenVBand="1" w:oddHBand="0" w:evenHBand="0" w:firstRowFirstColumn="0" w:firstRowLastColumn="0" w:lastRowFirstColumn="0" w:lastRowLastColumn="0"/>
            <w:tcW w:w="673" w:type="pct"/>
            <w:tcBorders>
              <w:bottom w:val="single" w:sz="4" w:space="0" w:color="003299"/>
            </w:tcBorders>
            <w:noWrap/>
          </w:tcPr>
          <w:p w14:paraId="2BDECD98" w14:textId="77777777" w:rsidR="00E24F39" w:rsidRPr="00F1035F" w:rsidRDefault="00E24F39" w:rsidP="00F1035F">
            <w:pPr>
              <w:pStyle w:val="Tabletext"/>
            </w:pPr>
            <w:r w:rsidRPr="00F1035F">
              <w:t>-44.1</w:t>
            </w:r>
          </w:p>
        </w:tc>
        <w:tc>
          <w:tcPr>
            <w:cnfStyle w:val="000010000000" w:firstRow="0" w:lastRow="0" w:firstColumn="0" w:lastColumn="0" w:oddVBand="1" w:evenVBand="0" w:oddHBand="0" w:evenHBand="0" w:firstRowFirstColumn="0" w:firstRowLastColumn="0" w:lastRowFirstColumn="0" w:lastRowLastColumn="0"/>
            <w:tcW w:w="673" w:type="pct"/>
            <w:tcBorders>
              <w:bottom w:val="single" w:sz="4" w:space="0" w:color="003299"/>
            </w:tcBorders>
            <w:noWrap/>
          </w:tcPr>
          <w:p w14:paraId="1D8218C9" w14:textId="77777777" w:rsidR="00E24F39" w:rsidRPr="00F1035F" w:rsidRDefault="00E24F39" w:rsidP="00F1035F">
            <w:pPr>
              <w:pStyle w:val="Tabletext"/>
            </w:pPr>
            <w:r w:rsidRPr="00F1035F">
              <w:t>0.5</w:t>
            </w:r>
          </w:p>
        </w:tc>
        <w:tc>
          <w:tcPr>
            <w:cnfStyle w:val="000001000000" w:firstRow="0" w:lastRow="0" w:firstColumn="0" w:lastColumn="0" w:oddVBand="0" w:evenVBand="1" w:oddHBand="0" w:evenHBand="0" w:firstRowFirstColumn="0" w:firstRowLastColumn="0" w:lastRowFirstColumn="0" w:lastRowLastColumn="0"/>
            <w:tcW w:w="669" w:type="pct"/>
            <w:tcBorders>
              <w:bottom w:val="single" w:sz="4" w:space="0" w:color="003299"/>
            </w:tcBorders>
          </w:tcPr>
          <w:p w14:paraId="22FDA552" w14:textId="77777777" w:rsidR="00E24F39" w:rsidRPr="00F1035F" w:rsidRDefault="00E24F39" w:rsidP="00F1035F">
            <w:pPr>
              <w:pStyle w:val="Tabletext"/>
            </w:pPr>
            <w:r w:rsidRPr="00F1035F">
              <w:t>-0.6</w:t>
            </w:r>
          </w:p>
        </w:tc>
      </w:tr>
      <w:tr w:rsidR="00E24F39" w:rsidRPr="002F49F2" w14:paraId="0F0ED78B"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val="restart"/>
            <w:tcBorders>
              <w:top w:val="single" w:sz="4" w:space="0" w:color="003299"/>
            </w:tcBorders>
          </w:tcPr>
          <w:p w14:paraId="045F2273" w14:textId="77777777" w:rsidR="00E24F39" w:rsidRPr="00F1035F" w:rsidRDefault="00E24F39" w:rsidP="00F1035F">
            <w:r w:rsidRPr="00F1035F">
              <w:t>Path 2: 25th percentile</w:t>
            </w:r>
          </w:p>
        </w:tc>
        <w:tc>
          <w:tcPr>
            <w:cnfStyle w:val="000010000000" w:firstRow="0" w:lastRow="0" w:firstColumn="0" w:lastColumn="0" w:oddVBand="1" w:evenVBand="0" w:oddHBand="0" w:evenHBand="0" w:firstRowFirstColumn="0" w:firstRowLastColumn="0" w:lastRowFirstColumn="0" w:lastRowLastColumn="0"/>
            <w:tcW w:w="503" w:type="pct"/>
            <w:tcBorders>
              <w:top w:val="single" w:sz="4" w:space="0" w:color="003299"/>
            </w:tcBorders>
            <w:noWrap/>
          </w:tcPr>
          <w:p w14:paraId="50B950BF" w14:textId="77777777" w:rsidR="00E24F39" w:rsidRPr="00601D53" w:rsidRDefault="00E24F39" w:rsidP="00F1035F">
            <w:pPr>
              <w:pStyle w:val="Tabletext"/>
              <w:rPr>
                <w:rStyle w:val="IntenseEmphasis"/>
              </w:rPr>
            </w:pPr>
            <w:r w:rsidRPr="00601D53">
              <w:rPr>
                <w:rStyle w:val="IntenseEmphasis"/>
              </w:rPr>
              <w:t>2026</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tcPr>
          <w:p w14:paraId="705B875A" w14:textId="77777777" w:rsidR="00E24F39" w:rsidRPr="00F1035F" w:rsidRDefault="00E24F39" w:rsidP="00F1035F">
            <w:pPr>
              <w:pStyle w:val="Tabletext"/>
            </w:pPr>
            <w:r w:rsidRPr="00F1035F">
              <w:t>-14.9</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02646AFB" w14:textId="77777777" w:rsidR="00E24F39" w:rsidRPr="00F1035F" w:rsidRDefault="00E24F39" w:rsidP="00F1035F">
            <w:pPr>
              <w:pStyle w:val="Tabletext"/>
            </w:pPr>
            <w:r w:rsidRPr="00F1035F">
              <w:t>-14.7</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noWrap/>
          </w:tcPr>
          <w:p w14:paraId="6168C638" w14:textId="77777777" w:rsidR="00E24F39" w:rsidRPr="00F1035F" w:rsidRDefault="00E24F39" w:rsidP="00F1035F">
            <w:pPr>
              <w:pStyle w:val="Tabletext"/>
            </w:pPr>
            <w:r w:rsidRPr="00F1035F">
              <w:t>-14.7</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0B89448A" w14:textId="77777777" w:rsidR="00E24F39" w:rsidRPr="00F1035F" w:rsidRDefault="00E24F39" w:rsidP="00F1035F">
            <w:pPr>
              <w:pStyle w:val="Tabletext"/>
            </w:pPr>
            <w:r w:rsidRPr="00F1035F">
              <w:t>0.0</w:t>
            </w:r>
          </w:p>
        </w:tc>
        <w:tc>
          <w:tcPr>
            <w:cnfStyle w:val="000001000000" w:firstRow="0" w:lastRow="0" w:firstColumn="0" w:lastColumn="0" w:oddVBand="0" w:evenVBand="1" w:oddHBand="0" w:evenHBand="0" w:firstRowFirstColumn="0" w:firstRowLastColumn="0" w:lastRowFirstColumn="0" w:lastRowLastColumn="0"/>
            <w:tcW w:w="669" w:type="pct"/>
            <w:tcBorders>
              <w:top w:val="single" w:sz="4" w:space="0" w:color="003299"/>
            </w:tcBorders>
          </w:tcPr>
          <w:p w14:paraId="2C1725B8" w14:textId="77777777" w:rsidR="00E24F39" w:rsidRPr="00F1035F" w:rsidRDefault="00E24F39" w:rsidP="00F1035F">
            <w:pPr>
              <w:pStyle w:val="Tabletext"/>
            </w:pPr>
            <w:r w:rsidRPr="00F1035F">
              <w:t>-0.4</w:t>
            </w:r>
          </w:p>
        </w:tc>
      </w:tr>
      <w:tr w:rsidR="00E24F39" w:rsidRPr="002F49F2" w14:paraId="66853C35"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tcPr>
          <w:p w14:paraId="476F9EDA"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noWrap/>
          </w:tcPr>
          <w:p w14:paraId="202DE33E" w14:textId="77777777" w:rsidR="00E24F39" w:rsidRPr="00601D53" w:rsidRDefault="00E24F39" w:rsidP="00F1035F">
            <w:pPr>
              <w:pStyle w:val="Tabletext"/>
              <w:rPr>
                <w:rStyle w:val="IntenseEmphasis"/>
              </w:rPr>
            </w:pPr>
            <w:r w:rsidRPr="00601D53">
              <w:rPr>
                <w:rStyle w:val="IntenseEmphasis"/>
              </w:rPr>
              <w:t>2027</w:t>
            </w:r>
          </w:p>
        </w:tc>
        <w:tc>
          <w:tcPr>
            <w:cnfStyle w:val="000001000000" w:firstRow="0" w:lastRow="0" w:firstColumn="0" w:lastColumn="0" w:oddVBand="0" w:evenVBand="1" w:oddHBand="0" w:evenHBand="0" w:firstRowFirstColumn="0" w:firstRowLastColumn="0" w:lastRowFirstColumn="0" w:lastRowLastColumn="0"/>
            <w:tcW w:w="673" w:type="pct"/>
          </w:tcPr>
          <w:p w14:paraId="1B739765" w14:textId="77777777" w:rsidR="00E24F39" w:rsidRPr="00F1035F" w:rsidRDefault="00E24F39" w:rsidP="00F1035F">
            <w:pPr>
              <w:pStyle w:val="Tabletext"/>
            </w:pPr>
            <w:r w:rsidRPr="00F1035F">
              <w:t>-16.9</w:t>
            </w:r>
          </w:p>
        </w:tc>
        <w:tc>
          <w:tcPr>
            <w:cnfStyle w:val="000010000000" w:firstRow="0" w:lastRow="0" w:firstColumn="0" w:lastColumn="0" w:oddVBand="1" w:evenVBand="0" w:oddHBand="0" w:evenHBand="0" w:firstRowFirstColumn="0" w:firstRowLastColumn="0" w:lastRowFirstColumn="0" w:lastRowLastColumn="0"/>
            <w:tcW w:w="673" w:type="pct"/>
            <w:noWrap/>
          </w:tcPr>
          <w:p w14:paraId="3C83B750" w14:textId="77777777" w:rsidR="00E24F39" w:rsidRPr="00F1035F" w:rsidRDefault="00E24F39" w:rsidP="00F1035F">
            <w:pPr>
              <w:pStyle w:val="Tabletext"/>
            </w:pPr>
            <w:r w:rsidRPr="00F1035F">
              <w:t>-21.2</w:t>
            </w:r>
          </w:p>
        </w:tc>
        <w:tc>
          <w:tcPr>
            <w:cnfStyle w:val="000001000000" w:firstRow="0" w:lastRow="0" w:firstColumn="0" w:lastColumn="0" w:oddVBand="0" w:evenVBand="1" w:oddHBand="0" w:evenHBand="0" w:firstRowFirstColumn="0" w:firstRowLastColumn="0" w:lastRowFirstColumn="0" w:lastRowLastColumn="0"/>
            <w:tcW w:w="673" w:type="pct"/>
            <w:noWrap/>
          </w:tcPr>
          <w:p w14:paraId="241C45B1" w14:textId="77777777" w:rsidR="00E24F39" w:rsidRPr="00F1035F" w:rsidRDefault="00E24F39" w:rsidP="00F1035F">
            <w:pPr>
              <w:pStyle w:val="Tabletext"/>
            </w:pPr>
            <w:r w:rsidRPr="00F1035F">
              <w:t>-18.3</w:t>
            </w:r>
          </w:p>
        </w:tc>
        <w:tc>
          <w:tcPr>
            <w:cnfStyle w:val="000010000000" w:firstRow="0" w:lastRow="0" w:firstColumn="0" w:lastColumn="0" w:oddVBand="1" w:evenVBand="0" w:oddHBand="0" w:evenHBand="0" w:firstRowFirstColumn="0" w:firstRowLastColumn="0" w:lastRowFirstColumn="0" w:lastRowLastColumn="0"/>
            <w:tcW w:w="673" w:type="pct"/>
            <w:noWrap/>
          </w:tcPr>
          <w:p w14:paraId="6BAA51AB" w14:textId="77777777" w:rsidR="00E24F39" w:rsidRPr="00F1035F" w:rsidRDefault="00E24F39" w:rsidP="00F1035F">
            <w:pPr>
              <w:pStyle w:val="Tabletext"/>
            </w:pPr>
            <w:r w:rsidRPr="00F1035F">
              <w:t>0.3</w:t>
            </w:r>
          </w:p>
        </w:tc>
        <w:tc>
          <w:tcPr>
            <w:cnfStyle w:val="000001000000" w:firstRow="0" w:lastRow="0" w:firstColumn="0" w:lastColumn="0" w:oddVBand="0" w:evenVBand="1" w:oddHBand="0" w:evenHBand="0" w:firstRowFirstColumn="0" w:firstRowLastColumn="0" w:lastRowFirstColumn="0" w:lastRowLastColumn="0"/>
            <w:tcW w:w="669" w:type="pct"/>
          </w:tcPr>
          <w:p w14:paraId="000BFA12" w14:textId="77777777" w:rsidR="00E24F39" w:rsidRPr="00F1035F" w:rsidRDefault="00E24F39" w:rsidP="00F1035F">
            <w:pPr>
              <w:pStyle w:val="Tabletext"/>
            </w:pPr>
            <w:r w:rsidRPr="00F1035F">
              <w:t>-0.4</w:t>
            </w:r>
          </w:p>
        </w:tc>
      </w:tr>
      <w:tr w:rsidR="00E24F39" w:rsidRPr="002F49F2" w14:paraId="38C72DE2"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tcBorders>
              <w:bottom w:val="single" w:sz="4" w:space="0" w:color="003299"/>
            </w:tcBorders>
          </w:tcPr>
          <w:p w14:paraId="2063BBE3"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tcBorders>
              <w:bottom w:val="single" w:sz="4" w:space="0" w:color="003299"/>
            </w:tcBorders>
            <w:noWrap/>
          </w:tcPr>
          <w:p w14:paraId="2D2BB388" w14:textId="77777777" w:rsidR="00E24F39" w:rsidRPr="00601D53" w:rsidRDefault="00E24F39" w:rsidP="00F1035F">
            <w:pPr>
              <w:pStyle w:val="Tabletext"/>
              <w:rPr>
                <w:rStyle w:val="IntenseEmphasis"/>
              </w:rPr>
            </w:pPr>
            <w:r w:rsidRPr="00601D53">
              <w:rPr>
                <w:rStyle w:val="IntenseEmphasis"/>
              </w:rPr>
              <w:t>2028</w:t>
            </w:r>
          </w:p>
        </w:tc>
        <w:tc>
          <w:tcPr>
            <w:cnfStyle w:val="000001000000" w:firstRow="0" w:lastRow="0" w:firstColumn="0" w:lastColumn="0" w:oddVBand="0" w:evenVBand="1" w:oddHBand="0" w:evenHBand="0" w:firstRowFirstColumn="0" w:firstRowLastColumn="0" w:lastRowFirstColumn="0" w:lastRowLastColumn="0"/>
            <w:tcW w:w="673" w:type="pct"/>
            <w:tcBorders>
              <w:bottom w:val="single" w:sz="4" w:space="0" w:color="003299"/>
            </w:tcBorders>
          </w:tcPr>
          <w:p w14:paraId="00932780" w14:textId="77777777" w:rsidR="00E24F39" w:rsidRPr="00F1035F" w:rsidRDefault="00E24F39" w:rsidP="00F1035F">
            <w:pPr>
              <w:pStyle w:val="Tabletext"/>
            </w:pPr>
            <w:r w:rsidRPr="00F1035F">
              <w:t>-15.9</w:t>
            </w:r>
          </w:p>
        </w:tc>
        <w:tc>
          <w:tcPr>
            <w:cnfStyle w:val="000010000000" w:firstRow="0" w:lastRow="0" w:firstColumn="0" w:lastColumn="0" w:oddVBand="1" w:evenVBand="0" w:oddHBand="0" w:evenHBand="0" w:firstRowFirstColumn="0" w:firstRowLastColumn="0" w:lastRowFirstColumn="0" w:lastRowLastColumn="0"/>
            <w:tcW w:w="673" w:type="pct"/>
            <w:tcBorders>
              <w:bottom w:val="single" w:sz="4" w:space="0" w:color="003299"/>
            </w:tcBorders>
            <w:noWrap/>
          </w:tcPr>
          <w:p w14:paraId="285F0ABB" w14:textId="77777777" w:rsidR="00E24F39" w:rsidRPr="00F1035F" w:rsidRDefault="00E24F39" w:rsidP="00F1035F">
            <w:pPr>
              <w:pStyle w:val="Tabletext"/>
            </w:pPr>
            <w:r w:rsidRPr="00F1035F">
              <w:t>-25.4</w:t>
            </w:r>
          </w:p>
        </w:tc>
        <w:tc>
          <w:tcPr>
            <w:cnfStyle w:val="000001000000" w:firstRow="0" w:lastRow="0" w:firstColumn="0" w:lastColumn="0" w:oddVBand="0" w:evenVBand="1" w:oddHBand="0" w:evenHBand="0" w:firstRowFirstColumn="0" w:firstRowLastColumn="0" w:lastRowFirstColumn="0" w:lastRowLastColumn="0"/>
            <w:tcW w:w="673" w:type="pct"/>
            <w:tcBorders>
              <w:bottom w:val="single" w:sz="4" w:space="0" w:color="003299"/>
            </w:tcBorders>
            <w:noWrap/>
          </w:tcPr>
          <w:p w14:paraId="612B685F" w14:textId="77777777" w:rsidR="00E24F39" w:rsidRPr="00F1035F" w:rsidRDefault="00E24F39" w:rsidP="00F1035F">
            <w:pPr>
              <w:pStyle w:val="Tabletext"/>
            </w:pPr>
            <w:r w:rsidRPr="00F1035F">
              <w:t>-18.6</w:t>
            </w:r>
          </w:p>
        </w:tc>
        <w:tc>
          <w:tcPr>
            <w:cnfStyle w:val="000010000000" w:firstRow="0" w:lastRow="0" w:firstColumn="0" w:lastColumn="0" w:oddVBand="1" w:evenVBand="0" w:oddHBand="0" w:evenHBand="0" w:firstRowFirstColumn="0" w:firstRowLastColumn="0" w:lastRowFirstColumn="0" w:lastRowLastColumn="0"/>
            <w:tcW w:w="673" w:type="pct"/>
            <w:tcBorders>
              <w:bottom w:val="single" w:sz="4" w:space="0" w:color="003299"/>
            </w:tcBorders>
            <w:noWrap/>
          </w:tcPr>
          <w:p w14:paraId="594FF1F1" w14:textId="77777777" w:rsidR="00E24F39" w:rsidRPr="00F1035F" w:rsidRDefault="00E24F39" w:rsidP="00F1035F">
            <w:pPr>
              <w:pStyle w:val="Tabletext"/>
            </w:pPr>
            <w:r w:rsidRPr="00F1035F">
              <w:t>0.2</w:t>
            </w:r>
          </w:p>
        </w:tc>
        <w:tc>
          <w:tcPr>
            <w:cnfStyle w:val="000001000000" w:firstRow="0" w:lastRow="0" w:firstColumn="0" w:lastColumn="0" w:oddVBand="0" w:evenVBand="1" w:oddHBand="0" w:evenHBand="0" w:firstRowFirstColumn="0" w:firstRowLastColumn="0" w:lastRowFirstColumn="0" w:lastRowLastColumn="0"/>
            <w:tcW w:w="669" w:type="pct"/>
            <w:tcBorders>
              <w:bottom w:val="single" w:sz="4" w:space="0" w:color="003299"/>
            </w:tcBorders>
          </w:tcPr>
          <w:p w14:paraId="6B01A295" w14:textId="77777777" w:rsidR="00E24F39" w:rsidRPr="00F1035F" w:rsidRDefault="00E24F39" w:rsidP="00F1035F">
            <w:pPr>
              <w:pStyle w:val="Tabletext"/>
            </w:pPr>
            <w:r w:rsidRPr="00F1035F">
              <w:t>-0.2</w:t>
            </w:r>
          </w:p>
        </w:tc>
      </w:tr>
      <w:tr w:rsidR="00E24F39" w:rsidRPr="002F49F2" w14:paraId="51D5EA04"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val="restart"/>
            <w:tcBorders>
              <w:top w:val="single" w:sz="4" w:space="0" w:color="003299"/>
            </w:tcBorders>
          </w:tcPr>
          <w:p w14:paraId="4C380567" w14:textId="77777777" w:rsidR="00E24F39" w:rsidRPr="00F1035F" w:rsidRDefault="00E24F39" w:rsidP="00F1035F">
            <w:r w:rsidRPr="00F1035F">
              <w:t>Path 3: 75th percentile</w:t>
            </w:r>
          </w:p>
        </w:tc>
        <w:tc>
          <w:tcPr>
            <w:cnfStyle w:val="000010000000" w:firstRow="0" w:lastRow="0" w:firstColumn="0" w:lastColumn="0" w:oddVBand="1" w:evenVBand="0" w:oddHBand="0" w:evenHBand="0" w:firstRowFirstColumn="0" w:firstRowLastColumn="0" w:lastRowFirstColumn="0" w:lastRowLastColumn="0"/>
            <w:tcW w:w="503" w:type="pct"/>
            <w:tcBorders>
              <w:top w:val="single" w:sz="4" w:space="0" w:color="003299"/>
            </w:tcBorders>
            <w:noWrap/>
          </w:tcPr>
          <w:p w14:paraId="1C341324" w14:textId="77777777" w:rsidR="00E24F39" w:rsidRPr="00601D53" w:rsidRDefault="00E24F39" w:rsidP="00F1035F">
            <w:pPr>
              <w:pStyle w:val="Tabletext"/>
              <w:rPr>
                <w:rStyle w:val="IntenseEmphasis"/>
              </w:rPr>
            </w:pPr>
            <w:r w:rsidRPr="00601D53">
              <w:rPr>
                <w:rStyle w:val="IntenseEmphasis"/>
              </w:rPr>
              <w:t>2026</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tcPr>
          <w:p w14:paraId="14CF13F0" w14:textId="77777777" w:rsidR="00E24F39" w:rsidRPr="00F1035F" w:rsidRDefault="00E24F39" w:rsidP="00F1035F">
            <w:pPr>
              <w:pStyle w:val="Tabletext"/>
            </w:pPr>
            <w:r w:rsidRPr="00F1035F">
              <w:t>20.2</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673C9914" w14:textId="77777777" w:rsidR="00E24F39" w:rsidRPr="00F1035F" w:rsidRDefault="00E24F39" w:rsidP="00F1035F">
            <w:pPr>
              <w:pStyle w:val="Tabletext"/>
            </w:pPr>
            <w:r w:rsidRPr="00F1035F">
              <w:t>22.3</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noWrap/>
          </w:tcPr>
          <w:p w14:paraId="1AC98BA1" w14:textId="77777777" w:rsidR="00E24F39" w:rsidRPr="00F1035F" w:rsidRDefault="00E24F39" w:rsidP="00F1035F">
            <w:pPr>
              <w:pStyle w:val="Tabletext"/>
            </w:pPr>
            <w:r w:rsidRPr="00F1035F">
              <w:t>21.2</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40FE6087" w14:textId="77777777" w:rsidR="00E24F39" w:rsidRPr="00F1035F" w:rsidRDefault="00E24F39" w:rsidP="00F1035F">
            <w:pPr>
              <w:pStyle w:val="Tabletext"/>
            </w:pPr>
            <w:r w:rsidRPr="00F1035F">
              <w:t>0.0</w:t>
            </w:r>
          </w:p>
        </w:tc>
        <w:tc>
          <w:tcPr>
            <w:cnfStyle w:val="000001000000" w:firstRow="0" w:lastRow="0" w:firstColumn="0" w:lastColumn="0" w:oddVBand="0" w:evenVBand="1" w:oddHBand="0" w:evenHBand="0" w:firstRowFirstColumn="0" w:firstRowLastColumn="0" w:lastRowFirstColumn="0" w:lastRowLastColumn="0"/>
            <w:tcW w:w="669" w:type="pct"/>
            <w:tcBorders>
              <w:top w:val="single" w:sz="4" w:space="0" w:color="003299"/>
            </w:tcBorders>
          </w:tcPr>
          <w:p w14:paraId="79C9E7FE" w14:textId="77777777" w:rsidR="00E24F39" w:rsidRPr="00F1035F" w:rsidRDefault="00E24F39" w:rsidP="00F1035F">
            <w:pPr>
              <w:pStyle w:val="Tabletext"/>
            </w:pPr>
            <w:r w:rsidRPr="00F1035F">
              <w:t>0.6</w:t>
            </w:r>
          </w:p>
        </w:tc>
      </w:tr>
      <w:tr w:rsidR="00E24F39" w:rsidRPr="002F49F2" w14:paraId="0EC90F2E"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tcPr>
          <w:p w14:paraId="167F8747"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noWrap/>
          </w:tcPr>
          <w:p w14:paraId="357570E1" w14:textId="77777777" w:rsidR="00E24F39" w:rsidRPr="00601D53" w:rsidRDefault="00E24F39" w:rsidP="00F1035F">
            <w:pPr>
              <w:pStyle w:val="Tabletext"/>
              <w:rPr>
                <w:rStyle w:val="IntenseEmphasis"/>
              </w:rPr>
            </w:pPr>
            <w:r w:rsidRPr="00601D53">
              <w:rPr>
                <w:rStyle w:val="IntenseEmphasis"/>
              </w:rPr>
              <w:t>2027</w:t>
            </w:r>
          </w:p>
        </w:tc>
        <w:tc>
          <w:tcPr>
            <w:cnfStyle w:val="000001000000" w:firstRow="0" w:lastRow="0" w:firstColumn="0" w:lastColumn="0" w:oddVBand="0" w:evenVBand="1" w:oddHBand="0" w:evenHBand="0" w:firstRowFirstColumn="0" w:firstRowLastColumn="0" w:lastRowFirstColumn="0" w:lastRowLastColumn="0"/>
            <w:tcW w:w="673" w:type="pct"/>
          </w:tcPr>
          <w:p w14:paraId="75784984" w14:textId="77777777" w:rsidR="00E24F39" w:rsidRPr="00F1035F" w:rsidRDefault="00E24F39" w:rsidP="00F1035F">
            <w:pPr>
              <w:pStyle w:val="Tabletext"/>
            </w:pPr>
            <w:r w:rsidRPr="00F1035F">
              <w:t>19.2</w:t>
            </w:r>
          </w:p>
        </w:tc>
        <w:tc>
          <w:tcPr>
            <w:cnfStyle w:val="000010000000" w:firstRow="0" w:lastRow="0" w:firstColumn="0" w:lastColumn="0" w:oddVBand="1" w:evenVBand="0" w:oddHBand="0" w:evenHBand="0" w:firstRowFirstColumn="0" w:firstRowLastColumn="0" w:lastRowFirstColumn="0" w:lastRowLastColumn="0"/>
            <w:tcW w:w="673" w:type="pct"/>
            <w:noWrap/>
          </w:tcPr>
          <w:p w14:paraId="22A94EBB" w14:textId="77777777" w:rsidR="00E24F39" w:rsidRPr="00F1035F" w:rsidRDefault="00E24F39" w:rsidP="00F1035F">
            <w:pPr>
              <w:pStyle w:val="Tabletext"/>
            </w:pPr>
            <w:r w:rsidRPr="00F1035F">
              <w:t>31.7</w:t>
            </w:r>
          </w:p>
        </w:tc>
        <w:tc>
          <w:tcPr>
            <w:cnfStyle w:val="000001000000" w:firstRow="0" w:lastRow="0" w:firstColumn="0" w:lastColumn="0" w:oddVBand="0" w:evenVBand="1" w:oddHBand="0" w:evenHBand="0" w:firstRowFirstColumn="0" w:firstRowLastColumn="0" w:lastRowFirstColumn="0" w:lastRowLastColumn="0"/>
            <w:tcW w:w="673" w:type="pct"/>
            <w:noWrap/>
          </w:tcPr>
          <w:p w14:paraId="543E267D" w14:textId="77777777" w:rsidR="00E24F39" w:rsidRPr="00F1035F" w:rsidRDefault="00E24F39" w:rsidP="00F1035F">
            <w:pPr>
              <w:pStyle w:val="Tabletext"/>
            </w:pPr>
            <w:r w:rsidRPr="00F1035F">
              <w:t>23.5</w:t>
            </w:r>
          </w:p>
        </w:tc>
        <w:tc>
          <w:tcPr>
            <w:cnfStyle w:val="000010000000" w:firstRow="0" w:lastRow="0" w:firstColumn="0" w:lastColumn="0" w:oddVBand="1" w:evenVBand="0" w:oddHBand="0" w:evenHBand="0" w:firstRowFirstColumn="0" w:firstRowLastColumn="0" w:lastRowFirstColumn="0" w:lastRowLastColumn="0"/>
            <w:tcW w:w="673" w:type="pct"/>
            <w:noWrap/>
          </w:tcPr>
          <w:p w14:paraId="6F5758FB" w14:textId="77777777" w:rsidR="00E24F39" w:rsidRPr="00F1035F" w:rsidRDefault="00E24F39" w:rsidP="00F1035F">
            <w:pPr>
              <w:pStyle w:val="Tabletext"/>
            </w:pPr>
            <w:r w:rsidRPr="00F1035F">
              <w:t>-0.3</w:t>
            </w:r>
          </w:p>
        </w:tc>
        <w:tc>
          <w:tcPr>
            <w:cnfStyle w:val="000001000000" w:firstRow="0" w:lastRow="0" w:firstColumn="0" w:lastColumn="0" w:oddVBand="0" w:evenVBand="1" w:oddHBand="0" w:evenHBand="0" w:firstRowFirstColumn="0" w:firstRowLastColumn="0" w:lastRowFirstColumn="0" w:lastRowLastColumn="0"/>
            <w:tcW w:w="669" w:type="pct"/>
          </w:tcPr>
          <w:p w14:paraId="04FD91A5" w14:textId="77777777" w:rsidR="00E24F39" w:rsidRPr="00F1035F" w:rsidRDefault="00E24F39" w:rsidP="00F1035F">
            <w:pPr>
              <w:pStyle w:val="Tabletext"/>
            </w:pPr>
            <w:r w:rsidRPr="00F1035F">
              <w:t>0.5</w:t>
            </w:r>
          </w:p>
        </w:tc>
      </w:tr>
      <w:tr w:rsidR="00E24F39" w:rsidRPr="002F49F2" w14:paraId="4695E3EA"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tcBorders>
              <w:bottom w:val="single" w:sz="4" w:space="0" w:color="003299"/>
            </w:tcBorders>
          </w:tcPr>
          <w:p w14:paraId="52581FF1"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tcBorders>
              <w:bottom w:val="single" w:sz="4" w:space="0" w:color="003299"/>
            </w:tcBorders>
            <w:noWrap/>
          </w:tcPr>
          <w:p w14:paraId="19CE3E4A" w14:textId="77777777" w:rsidR="00E24F39" w:rsidRPr="00601D53" w:rsidRDefault="00E24F39" w:rsidP="00F1035F">
            <w:pPr>
              <w:pStyle w:val="Tabletext"/>
              <w:rPr>
                <w:rStyle w:val="IntenseEmphasis"/>
              </w:rPr>
            </w:pPr>
            <w:r w:rsidRPr="00601D53">
              <w:rPr>
                <w:rStyle w:val="IntenseEmphasis"/>
              </w:rPr>
              <w:t>2028</w:t>
            </w:r>
          </w:p>
        </w:tc>
        <w:tc>
          <w:tcPr>
            <w:cnfStyle w:val="000001000000" w:firstRow="0" w:lastRow="0" w:firstColumn="0" w:lastColumn="0" w:oddVBand="0" w:evenVBand="1" w:oddHBand="0" w:evenHBand="0" w:firstRowFirstColumn="0" w:firstRowLastColumn="0" w:lastRowFirstColumn="0" w:lastRowLastColumn="0"/>
            <w:tcW w:w="673" w:type="pct"/>
            <w:tcBorders>
              <w:bottom w:val="single" w:sz="4" w:space="0" w:color="003299"/>
            </w:tcBorders>
          </w:tcPr>
          <w:p w14:paraId="18385947" w14:textId="77777777" w:rsidR="00E24F39" w:rsidRPr="00F1035F" w:rsidRDefault="00E24F39" w:rsidP="00F1035F">
            <w:pPr>
              <w:pStyle w:val="Tabletext"/>
            </w:pPr>
            <w:r w:rsidRPr="00F1035F">
              <w:t>18.9</w:t>
            </w:r>
          </w:p>
        </w:tc>
        <w:tc>
          <w:tcPr>
            <w:cnfStyle w:val="000010000000" w:firstRow="0" w:lastRow="0" w:firstColumn="0" w:lastColumn="0" w:oddVBand="1" w:evenVBand="0" w:oddHBand="0" w:evenHBand="0" w:firstRowFirstColumn="0" w:firstRowLastColumn="0" w:lastRowFirstColumn="0" w:lastRowLastColumn="0"/>
            <w:tcW w:w="673" w:type="pct"/>
            <w:tcBorders>
              <w:bottom w:val="single" w:sz="4" w:space="0" w:color="003299"/>
            </w:tcBorders>
            <w:noWrap/>
          </w:tcPr>
          <w:p w14:paraId="44C5BBB4" w14:textId="77777777" w:rsidR="00E24F39" w:rsidRPr="00F1035F" w:rsidRDefault="00E24F39" w:rsidP="00F1035F">
            <w:pPr>
              <w:pStyle w:val="Tabletext"/>
            </w:pPr>
            <w:r w:rsidRPr="00F1035F">
              <w:t>33.6</w:t>
            </w:r>
          </w:p>
        </w:tc>
        <w:tc>
          <w:tcPr>
            <w:cnfStyle w:val="000001000000" w:firstRow="0" w:lastRow="0" w:firstColumn="0" w:lastColumn="0" w:oddVBand="0" w:evenVBand="1" w:oddHBand="0" w:evenHBand="0" w:firstRowFirstColumn="0" w:firstRowLastColumn="0" w:lastRowFirstColumn="0" w:lastRowLastColumn="0"/>
            <w:tcW w:w="673" w:type="pct"/>
            <w:tcBorders>
              <w:bottom w:val="single" w:sz="4" w:space="0" w:color="003299"/>
            </w:tcBorders>
            <w:noWrap/>
          </w:tcPr>
          <w:p w14:paraId="70BECA18" w14:textId="77777777" w:rsidR="00E24F39" w:rsidRPr="00F1035F" w:rsidRDefault="00E24F39" w:rsidP="00F1035F">
            <w:pPr>
              <w:pStyle w:val="Tabletext"/>
            </w:pPr>
            <w:r w:rsidRPr="00F1035F">
              <w:t>23.1</w:t>
            </w:r>
          </w:p>
        </w:tc>
        <w:tc>
          <w:tcPr>
            <w:cnfStyle w:val="000010000000" w:firstRow="0" w:lastRow="0" w:firstColumn="0" w:lastColumn="0" w:oddVBand="1" w:evenVBand="0" w:oddHBand="0" w:evenHBand="0" w:firstRowFirstColumn="0" w:firstRowLastColumn="0" w:lastRowFirstColumn="0" w:lastRowLastColumn="0"/>
            <w:tcW w:w="673" w:type="pct"/>
            <w:tcBorders>
              <w:bottom w:val="single" w:sz="4" w:space="0" w:color="003299"/>
            </w:tcBorders>
            <w:noWrap/>
          </w:tcPr>
          <w:p w14:paraId="625BF586" w14:textId="77777777" w:rsidR="00E24F39" w:rsidRPr="00F1035F" w:rsidRDefault="00E24F39" w:rsidP="00F1035F">
            <w:pPr>
              <w:pStyle w:val="Tabletext"/>
            </w:pPr>
            <w:r w:rsidRPr="00F1035F">
              <w:t>-0.2</w:t>
            </w:r>
          </w:p>
        </w:tc>
        <w:tc>
          <w:tcPr>
            <w:cnfStyle w:val="000001000000" w:firstRow="0" w:lastRow="0" w:firstColumn="0" w:lastColumn="0" w:oddVBand="0" w:evenVBand="1" w:oddHBand="0" w:evenHBand="0" w:firstRowFirstColumn="0" w:firstRowLastColumn="0" w:lastRowFirstColumn="0" w:lastRowLastColumn="0"/>
            <w:tcW w:w="669" w:type="pct"/>
            <w:tcBorders>
              <w:bottom w:val="single" w:sz="4" w:space="0" w:color="003299"/>
            </w:tcBorders>
          </w:tcPr>
          <w:p w14:paraId="7CE70ACA" w14:textId="77777777" w:rsidR="00E24F39" w:rsidRPr="00F1035F" w:rsidRDefault="00E24F39" w:rsidP="00F1035F">
            <w:pPr>
              <w:pStyle w:val="Tabletext"/>
            </w:pPr>
            <w:r w:rsidRPr="00F1035F">
              <w:t>0.3</w:t>
            </w:r>
          </w:p>
        </w:tc>
      </w:tr>
      <w:tr w:rsidR="00E24F39" w:rsidRPr="002F49F2" w14:paraId="7E9A7DBA"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val="restart"/>
            <w:tcBorders>
              <w:top w:val="single" w:sz="4" w:space="0" w:color="003299"/>
            </w:tcBorders>
          </w:tcPr>
          <w:p w14:paraId="7F555DA6" w14:textId="77777777" w:rsidR="00E24F39" w:rsidRPr="00F1035F" w:rsidRDefault="00E24F39" w:rsidP="00F1035F">
            <w:r w:rsidRPr="00F1035F">
              <w:t>Path 4: 95th percentile</w:t>
            </w:r>
          </w:p>
        </w:tc>
        <w:tc>
          <w:tcPr>
            <w:cnfStyle w:val="000010000000" w:firstRow="0" w:lastRow="0" w:firstColumn="0" w:lastColumn="0" w:oddVBand="1" w:evenVBand="0" w:oddHBand="0" w:evenHBand="0" w:firstRowFirstColumn="0" w:firstRowLastColumn="0" w:lastRowFirstColumn="0" w:lastRowLastColumn="0"/>
            <w:tcW w:w="503" w:type="pct"/>
            <w:tcBorders>
              <w:top w:val="single" w:sz="4" w:space="0" w:color="003299"/>
            </w:tcBorders>
            <w:noWrap/>
          </w:tcPr>
          <w:p w14:paraId="08F69AC0" w14:textId="77777777" w:rsidR="00E24F39" w:rsidRPr="00601D53" w:rsidRDefault="00E24F39" w:rsidP="00F1035F">
            <w:pPr>
              <w:pStyle w:val="Tabletext"/>
              <w:rPr>
                <w:rStyle w:val="IntenseEmphasis"/>
              </w:rPr>
            </w:pPr>
            <w:r w:rsidRPr="00601D53">
              <w:rPr>
                <w:rStyle w:val="IntenseEmphasis"/>
              </w:rPr>
              <w:t>2026</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tcPr>
          <w:p w14:paraId="779B6B86" w14:textId="77777777" w:rsidR="00E24F39" w:rsidRPr="00F1035F" w:rsidRDefault="00E24F39" w:rsidP="00F1035F">
            <w:pPr>
              <w:pStyle w:val="Tabletext"/>
            </w:pPr>
            <w:r w:rsidRPr="00F1035F">
              <w:t>73.9</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2078E13A" w14:textId="77777777" w:rsidR="00E24F39" w:rsidRPr="00F1035F" w:rsidRDefault="00E24F39" w:rsidP="00F1035F">
            <w:pPr>
              <w:pStyle w:val="Tabletext"/>
            </w:pPr>
            <w:r w:rsidRPr="00F1035F">
              <w:t>113.0</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noWrap/>
          </w:tcPr>
          <w:p w14:paraId="58653720" w14:textId="77777777" w:rsidR="00E24F39" w:rsidRPr="00F1035F" w:rsidRDefault="00E24F39" w:rsidP="00F1035F">
            <w:pPr>
              <w:pStyle w:val="Tabletext"/>
            </w:pPr>
            <w:r w:rsidRPr="00F1035F">
              <w:t>87.9</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3E00A449" w14:textId="77777777" w:rsidR="00E24F39" w:rsidRPr="00F1035F" w:rsidRDefault="00E24F39" w:rsidP="00F1035F">
            <w:pPr>
              <w:pStyle w:val="Tabletext"/>
            </w:pPr>
            <w:r w:rsidRPr="00F1035F">
              <w:t>-0.1</w:t>
            </w:r>
          </w:p>
        </w:tc>
        <w:tc>
          <w:tcPr>
            <w:cnfStyle w:val="000001000000" w:firstRow="0" w:lastRow="0" w:firstColumn="0" w:lastColumn="0" w:oddVBand="0" w:evenVBand="1" w:oddHBand="0" w:evenHBand="0" w:firstRowFirstColumn="0" w:firstRowLastColumn="0" w:lastRowFirstColumn="0" w:lastRowLastColumn="0"/>
            <w:tcW w:w="669" w:type="pct"/>
            <w:tcBorders>
              <w:top w:val="single" w:sz="4" w:space="0" w:color="003299"/>
            </w:tcBorders>
          </w:tcPr>
          <w:p w14:paraId="39AB604F" w14:textId="77777777" w:rsidR="00E24F39" w:rsidRPr="00F1035F" w:rsidRDefault="00E24F39" w:rsidP="00F1035F">
            <w:pPr>
              <w:pStyle w:val="Tabletext"/>
            </w:pPr>
            <w:r w:rsidRPr="00F1035F">
              <w:t>2.2</w:t>
            </w:r>
          </w:p>
        </w:tc>
      </w:tr>
      <w:tr w:rsidR="00E24F39" w:rsidRPr="002F49F2" w14:paraId="0879DC52"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tcPr>
          <w:p w14:paraId="07D65045"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noWrap/>
          </w:tcPr>
          <w:p w14:paraId="43D218BE" w14:textId="77777777" w:rsidR="00E24F39" w:rsidRPr="00601D53" w:rsidRDefault="00E24F39" w:rsidP="00F1035F">
            <w:pPr>
              <w:pStyle w:val="Tabletext"/>
              <w:rPr>
                <w:rStyle w:val="IntenseEmphasis"/>
              </w:rPr>
            </w:pPr>
            <w:r w:rsidRPr="00601D53">
              <w:rPr>
                <w:rStyle w:val="IntenseEmphasis"/>
              </w:rPr>
              <w:t>2027</w:t>
            </w:r>
          </w:p>
        </w:tc>
        <w:tc>
          <w:tcPr>
            <w:cnfStyle w:val="000001000000" w:firstRow="0" w:lastRow="0" w:firstColumn="0" w:lastColumn="0" w:oddVBand="0" w:evenVBand="1" w:oddHBand="0" w:evenHBand="0" w:firstRowFirstColumn="0" w:firstRowLastColumn="0" w:lastRowFirstColumn="0" w:lastRowLastColumn="0"/>
            <w:tcW w:w="673" w:type="pct"/>
          </w:tcPr>
          <w:p w14:paraId="6E0C1B45" w14:textId="77777777" w:rsidR="00E24F39" w:rsidRPr="00F1035F" w:rsidRDefault="00E24F39" w:rsidP="00F1035F">
            <w:pPr>
              <w:pStyle w:val="Tabletext"/>
            </w:pPr>
            <w:r w:rsidRPr="00F1035F">
              <w:t>65.9</w:t>
            </w:r>
          </w:p>
        </w:tc>
        <w:tc>
          <w:tcPr>
            <w:cnfStyle w:val="000010000000" w:firstRow="0" w:lastRow="0" w:firstColumn="0" w:lastColumn="0" w:oddVBand="1" w:evenVBand="0" w:oddHBand="0" w:evenHBand="0" w:firstRowFirstColumn="0" w:firstRowLastColumn="0" w:lastRowFirstColumn="0" w:lastRowLastColumn="0"/>
            <w:tcW w:w="673" w:type="pct"/>
            <w:noWrap/>
          </w:tcPr>
          <w:p w14:paraId="617F15A2" w14:textId="77777777" w:rsidR="00E24F39" w:rsidRPr="00F1035F" w:rsidRDefault="00E24F39" w:rsidP="00F1035F">
            <w:pPr>
              <w:pStyle w:val="Tabletext"/>
            </w:pPr>
            <w:r w:rsidRPr="00F1035F">
              <w:t>131.7</w:t>
            </w:r>
          </w:p>
        </w:tc>
        <w:tc>
          <w:tcPr>
            <w:cnfStyle w:val="000001000000" w:firstRow="0" w:lastRow="0" w:firstColumn="0" w:lastColumn="0" w:oddVBand="0" w:evenVBand="1" w:oddHBand="0" w:evenHBand="0" w:firstRowFirstColumn="0" w:firstRowLastColumn="0" w:lastRowFirstColumn="0" w:lastRowLastColumn="0"/>
            <w:tcW w:w="673" w:type="pct"/>
            <w:noWrap/>
          </w:tcPr>
          <w:p w14:paraId="636DD386" w14:textId="77777777" w:rsidR="00E24F39" w:rsidRPr="00F1035F" w:rsidRDefault="00E24F39" w:rsidP="00F1035F">
            <w:pPr>
              <w:pStyle w:val="Tabletext"/>
            </w:pPr>
            <w:r w:rsidRPr="00F1035F">
              <w:t>88.2</w:t>
            </w:r>
          </w:p>
        </w:tc>
        <w:tc>
          <w:tcPr>
            <w:cnfStyle w:val="000010000000" w:firstRow="0" w:lastRow="0" w:firstColumn="0" w:lastColumn="0" w:oddVBand="1" w:evenVBand="0" w:oddHBand="0" w:evenHBand="0" w:firstRowFirstColumn="0" w:firstRowLastColumn="0" w:lastRowFirstColumn="0" w:lastRowLastColumn="0"/>
            <w:tcW w:w="673" w:type="pct"/>
            <w:noWrap/>
          </w:tcPr>
          <w:p w14:paraId="07589632" w14:textId="77777777" w:rsidR="00E24F39" w:rsidRPr="00F1035F" w:rsidRDefault="00E24F39" w:rsidP="00F1035F">
            <w:pPr>
              <w:pStyle w:val="Tabletext"/>
            </w:pPr>
            <w:r w:rsidRPr="00F1035F">
              <w:t>-1.1</w:t>
            </w:r>
          </w:p>
        </w:tc>
        <w:tc>
          <w:tcPr>
            <w:cnfStyle w:val="000001000000" w:firstRow="0" w:lastRow="0" w:firstColumn="0" w:lastColumn="0" w:oddVBand="0" w:evenVBand="1" w:oddHBand="0" w:evenHBand="0" w:firstRowFirstColumn="0" w:firstRowLastColumn="0" w:lastRowFirstColumn="0" w:lastRowLastColumn="0"/>
            <w:tcW w:w="669" w:type="pct"/>
          </w:tcPr>
          <w:p w14:paraId="6C86BFD2" w14:textId="77777777" w:rsidR="00E24F39" w:rsidRPr="00F1035F" w:rsidRDefault="00E24F39" w:rsidP="00F1035F">
            <w:pPr>
              <w:pStyle w:val="Tabletext"/>
            </w:pPr>
            <w:r w:rsidRPr="00F1035F">
              <w:t>1.8</w:t>
            </w:r>
          </w:p>
        </w:tc>
      </w:tr>
      <w:tr w:rsidR="00E24F39" w:rsidRPr="002F49F2" w14:paraId="46CB584A"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tcBorders>
              <w:bottom w:val="single" w:sz="4" w:space="0" w:color="003299"/>
            </w:tcBorders>
          </w:tcPr>
          <w:p w14:paraId="4605E12C"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tcBorders>
              <w:bottom w:val="single" w:sz="4" w:space="0" w:color="003299"/>
            </w:tcBorders>
            <w:noWrap/>
          </w:tcPr>
          <w:p w14:paraId="6A9C3557" w14:textId="77777777" w:rsidR="00E24F39" w:rsidRPr="00601D53" w:rsidRDefault="00E24F39" w:rsidP="00F1035F">
            <w:pPr>
              <w:pStyle w:val="Tabletext"/>
              <w:rPr>
                <w:rStyle w:val="IntenseEmphasis"/>
              </w:rPr>
            </w:pPr>
            <w:r w:rsidRPr="00601D53">
              <w:rPr>
                <w:rStyle w:val="IntenseEmphasis"/>
              </w:rPr>
              <w:t>2028</w:t>
            </w:r>
          </w:p>
        </w:tc>
        <w:tc>
          <w:tcPr>
            <w:cnfStyle w:val="000001000000" w:firstRow="0" w:lastRow="0" w:firstColumn="0" w:lastColumn="0" w:oddVBand="0" w:evenVBand="1" w:oddHBand="0" w:evenHBand="0" w:firstRowFirstColumn="0" w:firstRowLastColumn="0" w:lastRowFirstColumn="0" w:lastRowLastColumn="0"/>
            <w:tcW w:w="673" w:type="pct"/>
            <w:tcBorders>
              <w:bottom w:val="single" w:sz="4" w:space="0" w:color="003299"/>
            </w:tcBorders>
          </w:tcPr>
          <w:p w14:paraId="05B73B14" w14:textId="77777777" w:rsidR="00E24F39" w:rsidRPr="00F1035F" w:rsidRDefault="00E24F39" w:rsidP="00F1035F">
            <w:pPr>
              <w:pStyle w:val="Tabletext"/>
            </w:pPr>
            <w:r w:rsidRPr="00F1035F">
              <w:t>64.1</w:t>
            </w:r>
          </w:p>
        </w:tc>
        <w:tc>
          <w:tcPr>
            <w:cnfStyle w:val="000010000000" w:firstRow="0" w:lastRow="0" w:firstColumn="0" w:lastColumn="0" w:oddVBand="1" w:evenVBand="0" w:oddHBand="0" w:evenHBand="0" w:firstRowFirstColumn="0" w:firstRowLastColumn="0" w:lastRowFirstColumn="0" w:lastRowLastColumn="0"/>
            <w:tcW w:w="673" w:type="pct"/>
            <w:tcBorders>
              <w:bottom w:val="single" w:sz="4" w:space="0" w:color="003299"/>
            </w:tcBorders>
            <w:noWrap/>
          </w:tcPr>
          <w:p w14:paraId="61621407" w14:textId="77777777" w:rsidR="00E24F39" w:rsidRPr="00F1035F" w:rsidRDefault="00E24F39" w:rsidP="00F1035F">
            <w:pPr>
              <w:pStyle w:val="Tabletext"/>
            </w:pPr>
            <w:r w:rsidRPr="00F1035F">
              <w:t>122.4</w:t>
            </w:r>
          </w:p>
        </w:tc>
        <w:tc>
          <w:tcPr>
            <w:cnfStyle w:val="000001000000" w:firstRow="0" w:lastRow="0" w:firstColumn="0" w:lastColumn="0" w:oddVBand="0" w:evenVBand="1" w:oddHBand="0" w:evenHBand="0" w:firstRowFirstColumn="0" w:firstRowLastColumn="0" w:lastRowFirstColumn="0" w:lastRowLastColumn="0"/>
            <w:tcW w:w="673" w:type="pct"/>
            <w:tcBorders>
              <w:bottom w:val="single" w:sz="4" w:space="0" w:color="003299"/>
            </w:tcBorders>
            <w:noWrap/>
          </w:tcPr>
          <w:p w14:paraId="0AA73F5E" w14:textId="77777777" w:rsidR="00E24F39" w:rsidRPr="00F1035F" w:rsidRDefault="00E24F39" w:rsidP="00F1035F">
            <w:pPr>
              <w:pStyle w:val="Tabletext"/>
            </w:pPr>
            <w:r w:rsidRPr="00F1035F">
              <w:t>80.5</w:t>
            </w:r>
          </w:p>
        </w:tc>
        <w:tc>
          <w:tcPr>
            <w:cnfStyle w:val="000010000000" w:firstRow="0" w:lastRow="0" w:firstColumn="0" w:lastColumn="0" w:oddVBand="1" w:evenVBand="0" w:oddHBand="0" w:evenHBand="0" w:firstRowFirstColumn="0" w:firstRowLastColumn="0" w:lastRowFirstColumn="0" w:lastRowLastColumn="0"/>
            <w:tcW w:w="673" w:type="pct"/>
            <w:tcBorders>
              <w:bottom w:val="single" w:sz="4" w:space="0" w:color="003299"/>
            </w:tcBorders>
            <w:noWrap/>
          </w:tcPr>
          <w:p w14:paraId="4D369F10" w14:textId="77777777" w:rsidR="00E24F39" w:rsidRPr="00F1035F" w:rsidRDefault="00E24F39" w:rsidP="00F1035F">
            <w:pPr>
              <w:pStyle w:val="Tabletext"/>
            </w:pPr>
            <w:r w:rsidRPr="00F1035F">
              <w:t>-0.9</w:t>
            </w:r>
          </w:p>
        </w:tc>
        <w:tc>
          <w:tcPr>
            <w:cnfStyle w:val="000001000000" w:firstRow="0" w:lastRow="0" w:firstColumn="0" w:lastColumn="0" w:oddVBand="0" w:evenVBand="1" w:oddHBand="0" w:evenHBand="0" w:firstRowFirstColumn="0" w:firstRowLastColumn="0" w:lastRowFirstColumn="0" w:lastRowLastColumn="0"/>
            <w:tcW w:w="669" w:type="pct"/>
            <w:tcBorders>
              <w:bottom w:val="single" w:sz="4" w:space="0" w:color="003299"/>
            </w:tcBorders>
          </w:tcPr>
          <w:p w14:paraId="4380FF34" w14:textId="77777777" w:rsidR="00E24F39" w:rsidRPr="00F1035F" w:rsidRDefault="00E24F39" w:rsidP="00F1035F">
            <w:pPr>
              <w:pStyle w:val="Tabletext"/>
            </w:pPr>
            <w:r w:rsidRPr="00F1035F">
              <w:t>0.9</w:t>
            </w:r>
          </w:p>
        </w:tc>
      </w:tr>
      <w:tr w:rsidR="00E24F39" w:rsidRPr="002F49F2" w14:paraId="08833082"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val="restart"/>
            <w:tcBorders>
              <w:top w:val="single" w:sz="4" w:space="0" w:color="003299"/>
            </w:tcBorders>
          </w:tcPr>
          <w:p w14:paraId="0206E607" w14:textId="77777777" w:rsidR="00E24F39" w:rsidRPr="00F1035F" w:rsidRDefault="00E24F39" w:rsidP="00F1035F">
            <w:r w:rsidRPr="00F1035F">
              <w:t>Path 5: constant prices</w:t>
            </w:r>
          </w:p>
        </w:tc>
        <w:tc>
          <w:tcPr>
            <w:cnfStyle w:val="000010000000" w:firstRow="0" w:lastRow="0" w:firstColumn="0" w:lastColumn="0" w:oddVBand="1" w:evenVBand="0" w:oddHBand="0" w:evenHBand="0" w:firstRowFirstColumn="0" w:firstRowLastColumn="0" w:lastRowFirstColumn="0" w:lastRowLastColumn="0"/>
            <w:tcW w:w="503" w:type="pct"/>
            <w:tcBorders>
              <w:top w:val="single" w:sz="4" w:space="0" w:color="003299"/>
            </w:tcBorders>
            <w:noWrap/>
          </w:tcPr>
          <w:p w14:paraId="5DB35788" w14:textId="77777777" w:rsidR="00E24F39" w:rsidRPr="00601D53" w:rsidRDefault="00E24F39" w:rsidP="00F1035F">
            <w:pPr>
              <w:pStyle w:val="Tabletext"/>
              <w:rPr>
                <w:rStyle w:val="IntenseEmphasis"/>
              </w:rPr>
            </w:pPr>
            <w:r w:rsidRPr="00601D53">
              <w:rPr>
                <w:rStyle w:val="IntenseEmphasis"/>
              </w:rPr>
              <w:t>2026</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tcPr>
          <w:p w14:paraId="4431F711" w14:textId="77777777" w:rsidR="00E24F39" w:rsidRPr="00F1035F" w:rsidRDefault="00E24F39" w:rsidP="00F1035F">
            <w:pPr>
              <w:pStyle w:val="Tabletext"/>
            </w:pPr>
            <w:r w:rsidRPr="00F1035F">
              <w:t>4.2</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4BE01EEB" w14:textId="77777777" w:rsidR="00E24F39" w:rsidRPr="00F1035F" w:rsidRDefault="00E24F39" w:rsidP="00F1035F">
            <w:pPr>
              <w:pStyle w:val="Tabletext"/>
            </w:pPr>
            <w:r w:rsidRPr="00F1035F">
              <w:t>1.1</w:t>
            </w:r>
          </w:p>
        </w:tc>
        <w:tc>
          <w:tcPr>
            <w:cnfStyle w:val="000001000000" w:firstRow="0" w:lastRow="0" w:firstColumn="0" w:lastColumn="0" w:oddVBand="0" w:evenVBand="1" w:oddHBand="0" w:evenHBand="0" w:firstRowFirstColumn="0" w:firstRowLastColumn="0" w:lastRowFirstColumn="0" w:lastRowLastColumn="0"/>
            <w:tcW w:w="673" w:type="pct"/>
            <w:tcBorders>
              <w:top w:val="single" w:sz="4" w:space="0" w:color="003299"/>
            </w:tcBorders>
            <w:noWrap/>
          </w:tcPr>
          <w:p w14:paraId="700EEBBE" w14:textId="77777777" w:rsidR="00E24F39" w:rsidRPr="00F1035F" w:rsidRDefault="00E24F39" w:rsidP="00F1035F">
            <w:pPr>
              <w:pStyle w:val="Tabletext"/>
            </w:pPr>
            <w:r w:rsidRPr="00F1035F">
              <w:t>3.1</w:t>
            </w:r>
          </w:p>
        </w:tc>
        <w:tc>
          <w:tcPr>
            <w:cnfStyle w:val="000010000000" w:firstRow="0" w:lastRow="0" w:firstColumn="0" w:lastColumn="0" w:oddVBand="1" w:evenVBand="0" w:oddHBand="0" w:evenHBand="0" w:firstRowFirstColumn="0" w:firstRowLastColumn="0" w:lastRowFirstColumn="0" w:lastRowLastColumn="0"/>
            <w:tcW w:w="673" w:type="pct"/>
            <w:tcBorders>
              <w:top w:val="single" w:sz="4" w:space="0" w:color="003299"/>
            </w:tcBorders>
            <w:noWrap/>
          </w:tcPr>
          <w:p w14:paraId="0776D814" w14:textId="77777777" w:rsidR="00E24F39" w:rsidRPr="00F1035F" w:rsidRDefault="00E24F39" w:rsidP="00F1035F">
            <w:pPr>
              <w:pStyle w:val="Tabletext"/>
            </w:pPr>
            <w:r w:rsidRPr="00F1035F">
              <w:t>-0.2</w:t>
            </w:r>
          </w:p>
        </w:tc>
        <w:tc>
          <w:tcPr>
            <w:cnfStyle w:val="000001000000" w:firstRow="0" w:lastRow="0" w:firstColumn="0" w:lastColumn="0" w:oddVBand="0" w:evenVBand="1" w:oddHBand="0" w:evenHBand="0" w:firstRowFirstColumn="0" w:firstRowLastColumn="0" w:lastRowFirstColumn="0" w:lastRowLastColumn="0"/>
            <w:tcW w:w="669" w:type="pct"/>
            <w:tcBorders>
              <w:top w:val="single" w:sz="4" w:space="0" w:color="003299"/>
            </w:tcBorders>
          </w:tcPr>
          <w:p w14:paraId="754C3B13" w14:textId="77777777" w:rsidR="00E24F39" w:rsidRPr="00F1035F" w:rsidRDefault="00E24F39" w:rsidP="00F1035F">
            <w:pPr>
              <w:pStyle w:val="Tabletext"/>
            </w:pPr>
            <w:r w:rsidRPr="00F1035F">
              <w:t>0.1</w:t>
            </w:r>
          </w:p>
        </w:tc>
      </w:tr>
      <w:tr w:rsidR="00E24F39" w:rsidRPr="002F49F2" w14:paraId="698BE2D4" w14:textId="77777777" w:rsidTr="00601D53">
        <w:trPr>
          <w:trHeight w:val="61"/>
        </w:trPr>
        <w:tc>
          <w:tcPr>
            <w:cnfStyle w:val="001000000000" w:firstRow="0" w:lastRow="0" w:firstColumn="1" w:lastColumn="0" w:oddVBand="0" w:evenVBand="0" w:oddHBand="0" w:evenHBand="0" w:firstRowFirstColumn="0" w:firstRowLastColumn="0" w:lastRowFirstColumn="0" w:lastRowLastColumn="0"/>
            <w:tcW w:w="1135" w:type="pct"/>
            <w:vMerge/>
          </w:tcPr>
          <w:p w14:paraId="2BE88E38"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noWrap/>
          </w:tcPr>
          <w:p w14:paraId="13A4CD84" w14:textId="77777777" w:rsidR="00E24F39" w:rsidRPr="00601D53" w:rsidRDefault="00E24F39" w:rsidP="00F1035F">
            <w:pPr>
              <w:pStyle w:val="Tabletext"/>
              <w:rPr>
                <w:rStyle w:val="IntenseEmphasis"/>
              </w:rPr>
            </w:pPr>
            <w:r w:rsidRPr="00601D53">
              <w:rPr>
                <w:rStyle w:val="IntenseEmphasis"/>
              </w:rPr>
              <w:t>2027</w:t>
            </w:r>
          </w:p>
        </w:tc>
        <w:tc>
          <w:tcPr>
            <w:cnfStyle w:val="000001000000" w:firstRow="0" w:lastRow="0" w:firstColumn="0" w:lastColumn="0" w:oddVBand="0" w:evenVBand="1" w:oddHBand="0" w:evenHBand="0" w:firstRowFirstColumn="0" w:firstRowLastColumn="0" w:lastRowFirstColumn="0" w:lastRowLastColumn="0"/>
            <w:tcW w:w="673" w:type="pct"/>
          </w:tcPr>
          <w:p w14:paraId="346D0C42" w14:textId="77777777" w:rsidR="00E24F39" w:rsidRPr="00F1035F" w:rsidRDefault="00E24F39" w:rsidP="00F1035F">
            <w:pPr>
              <w:pStyle w:val="Tabletext"/>
            </w:pPr>
            <w:r w:rsidRPr="00F1035F">
              <w:t>21.8</w:t>
            </w:r>
          </w:p>
        </w:tc>
        <w:tc>
          <w:tcPr>
            <w:cnfStyle w:val="000010000000" w:firstRow="0" w:lastRow="0" w:firstColumn="0" w:lastColumn="0" w:oddVBand="1" w:evenVBand="0" w:oddHBand="0" w:evenHBand="0" w:firstRowFirstColumn="0" w:firstRowLastColumn="0" w:lastRowFirstColumn="0" w:lastRowLastColumn="0"/>
            <w:tcW w:w="673" w:type="pct"/>
            <w:noWrap/>
          </w:tcPr>
          <w:p w14:paraId="567C0882" w14:textId="77777777" w:rsidR="00E24F39" w:rsidRPr="00F1035F" w:rsidRDefault="00E24F39" w:rsidP="00F1035F">
            <w:pPr>
              <w:pStyle w:val="Tabletext"/>
            </w:pPr>
            <w:r w:rsidRPr="00F1035F">
              <w:t>35.3</w:t>
            </w:r>
          </w:p>
        </w:tc>
        <w:tc>
          <w:tcPr>
            <w:cnfStyle w:val="000001000000" w:firstRow="0" w:lastRow="0" w:firstColumn="0" w:lastColumn="0" w:oddVBand="0" w:evenVBand="1" w:oddHBand="0" w:evenHBand="0" w:firstRowFirstColumn="0" w:firstRowLastColumn="0" w:lastRowFirstColumn="0" w:lastRowLastColumn="0"/>
            <w:tcW w:w="673" w:type="pct"/>
            <w:noWrap/>
          </w:tcPr>
          <w:p w14:paraId="6F5F3678" w14:textId="77777777" w:rsidR="00E24F39" w:rsidRPr="00F1035F" w:rsidRDefault="00E24F39" w:rsidP="00F1035F">
            <w:pPr>
              <w:pStyle w:val="Tabletext"/>
            </w:pPr>
            <w:r w:rsidRPr="00F1035F">
              <w:t>26.5</w:t>
            </w:r>
          </w:p>
        </w:tc>
        <w:tc>
          <w:tcPr>
            <w:cnfStyle w:val="000010000000" w:firstRow="0" w:lastRow="0" w:firstColumn="0" w:lastColumn="0" w:oddVBand="1" w:evenVBand="0" w:oddHBand="0" w:evenHBand="0" w:firstRowFirstColumn="0" w:firstRowLastColumn="0" w:lastRowFirstColumn="0" w:lastRowLastColumn="0"/>
            <w:tcW w:w="673" w:type="pct"/>
            <w:noWrap/>
          </w:tcPr>
          <w:p w14:paraId="32B9923B" w14:textId="77777777" w:rsidR="00E24F39" w:rsidRPr="00F1035F" w:rsidRDefault="00E24F39" w:rsidP="00F1035F">
            <w:pPr>
              <w:pStyle w:val="Tabletext"/>
            </w:pPr>
            <w:r w:rsidRPr="00F1035F">
              <w:t>-0.3</w:t>
            </w:r>
          </w:p>
        </w:tc>
        <w:tc>
          <w:tcPr>
            <w:cnfStyle w:val="000001000000" w:firstRow="0" w:lastRow="0" w:firstColumn="0" w:lastColumn="0" w:oddVBand="0" w:evenVBand="1" w:oddHBand="0" w:evenHBand="0" w:firstRowFirstColumn="0" w:firstRowLastColumn="0" w:lastRowFirstColumn="0" w:lastRowLastColumn="0"/>
            <w:tcW w:w="669" w:type="pct"/>
          </w:tcPr>
          <w:p w14:paraId="142BA5FF" w14:textId="77777777" w:rsidR="00E24F39" w:rsidRPr="00F1035F" w:rsidRDefault="00E24F39" w:rsidP="00F1035F">
            <w:pPr>
              <w:pStyle w:val="Tabletext"/>
            </w:pPr>
            <w:r w:rsidRPr="00F1035F">
              <w:t>0.7</w:t>
            </w:r>
          </w:p>
        </w:tc>
      </w:tr>
      <w:tr w:rsidR="00E24F39" w:rsidRPr="002F49F2" w14:paraId="53EE1F3E" w14:textId="77777777" w:rsidTr="00601D53">
        <w:trPr>
          <w:trHeight w:val="283"/>
        </w:trPr>
        <w:tc>
          <w:tcPr>
            <w:cnfStyle w:val="001000000000" w:firstRow="0" w:lastRow="0" w:firstColumn="1" w:lastColumn="0" w:oddVBand="0" w:evenVBand="0" w:oddHBand="0" w:evenHBand="0" w:firstRowFirstColumn="0" w:firstRowLastColumn="0" w:lastRowFirstColumn="0" w:lastRowLastColumn="0"/>
            <w:tcW w:w="1135" w:type="pct"/>
            <w:vMerge/>
          </w:tcPr>
          <w:p w14:paraId="3689CBE3" w14:textId="77777777" w:rsidR="00E24F39" w:rsidRPr="00F1035F" w:rsidRDefault="00E24F39" w:rsidP="00F1035F"/>
        </w:tc>
        <w:tc>
          <w:tcPr>
            <w:cnfStyle w:val="000010000000" w:firstRow="0" w:lastRow="0" w:firstColumn="0" w:lastColumn="0" w:oddVBand="1" w:evenVBand="0" w:oddHBand="0" w:evenHBand="0" w:firstRowFirstColumn="0" w:firstRowLastColumn="0" w:lastRowFirstColumn="0" w:lastRowLastColumn="0"/>
            <w:tcW w:w="503" w:type="pct"/>
            <w:noWrap/>
          </w:tcPr>
          <w:p w14:paraId="5F5F9A61" w14:textId="77777777" w:rsidR="00E24F39" w:rsidRPr="00601D53" w:rsidRDefault="00E24F39" w:rsidP="00F1035F">
            <w:pPr>
              <w:pStyle w:val="Tabletext"/>
              <w:rPr>
                <w:rStyle w:val="IntenseEmphasis"/>
              </w:rPr>
            </w:pPr>
            <w:r w:rsidRPr="00601D53">
              <w:rPr>
                <w:rStyle w:val="IntenseEmphasis"/>
              </w:rPr>
              <w:t>2028</w:t>
            </w:r>
          </w:p>
        </w:tc>
        <w:tc>
          <w:tcPr>
            <w:cnfStyle w:val="000001000000" w:firstRow="0" w:lastRow="0" w:firstColumn="0" w:lastColumn="0" w:oddVBand="0" w:evenVBand="1" w:oddHBand="0" w:evenHBand="0" w:firstRowFirstColumn="0" w:firstRowLastColumn="0" w:lastRowFirstColumn="0" w:lastRowLastColumn="0"/>
            <w:tcW w:w="673" w:type="pct"/>
          </w:tcPr>
          <w:p w14:paraId="71B2700C" w14:textId="77777777" w:rsidR="00E24F39" w:rsidRPr="00F1035F" w:rsidRDefault="00E24F39" w:rsidP="00F1035F">
            <w:pPr>
              <w:pStyle w:val="Tabletext"/>
            </w:pPr>
            <w:r w:rsidRPr="00F1035F">
              <w:t>25.1</w:t>
            </w:r>
          </w:p>
        </w:tc>
        <w:tc>
          <w:tcPr>
            <w:cnfStyle w:val="000010000000" w:firstRow="0" w:lastRow="0" w:firstColumn="0" w:lastColumn="0" w:oddVBand="1" w:evenVBand="0" w:oddHBand="0" w:evenHBand="0" w:firstRowFirstColumn="0" w:firstRowLastColumn="0" w:lastRowFirstColumn="0" w:lastRowLastColumn="0"/>
            <w:tcW w:w="673" w:type="pct"/>
            <w:noWrap/>
          </w:tcPr>
          <w:p w14:paraId="65818361" w14:textId="77777777" w:rsidR="00E24F39" w:rsidRPr="00F1035F" w:rsidRDefault="00E24F39" w:rsidP="00F1035F">
            <w:pPr>
              <w:pStyle w:val="Tabletext"/>
            </w:pPr>
            <w:r w:rsidRPr="00F1035F">
              <w:t>89.9</w:t>
            </w:r>
          </w:p>
        </w:tc>
        <w:tc>
          <w:tcPr>
            <w:cnfStyle w:val="000001000000" w:firstRow="0" w:lastRow="0" w:firstColumn="0" w:lastColumn="0" w:oddVBand="0" w:evenVBand="1" w:oddHBand="0" w:evenHBand="0" w:firstRowFirstColumn="0" w:firstRowLastColumn="0" w:lastRowFirstColumn="0" w:lastRowLastColumn="0"/>
            <w:tcW w:w="673" w:type="pct"/>
            <w:noWrap/>
          </w:tcPr>
          <w:p w14:paraId="349A065E" w14:textId="77777777" w:rsidR="00E24F39" w:rsidRPr="00F1035F" w:rsidRDefault="00E24F39" w:rsidP="00F1035F">
            <w:pPr>
              <w:pStyle w:val="Tabletext"/>
            </w:pPr>
            <w:r w:rsidRPr="00F1035F">
              <w:t>43.2</w:t>
            </w:r>
          </w:p>
        </w:tc>
        <w:tc>
          <w:tcPr>
            <w:cnfStyle w:val="000010000000" w:firstRow="0" w:lastRow="0" w:firstColumn="0" w:lastColumn="0" w:oddVBand="1" w:evenVBand="0" w:oddHBand="0" w:evenHBand="0" w:firstRowFirstColumn="0" w:firstRowLastColumn="0" w:lastRowFirstColumn="0" w:lastRowLastColumn="0"/>
            <w:tcW w:w="673" w:type="pct"/>
            <w:noWrap/>
          </w:tcPr>
          <w:p w14:paraId="13F30DBB" w14:textId="77777777" w:rsidR="00E24F39" w:rsidRPr="00F1035F" w:rsidRDefault="00E24F39" w:rsidP="00F1035F">
            <w:pPr>
              <w:pStyle w:val="Tabletext"/>
            </w:pPr>
            <w:r w:rsidRPr="00F1035F">
              <w:t>-0.3</w:t>
            </w:r>
          </w:p>
        </w:tc>
        <w:tc>
          <w:tcPr>
            <w:cnfStyle w:val="000001000000" w:firstRow="0" w:lastRow="0" w:firstColumn="0" w:lastColumn="0" w:oddVBand="0" w:evenVBand="1" w:oddHBand="0" w:evenHBand="0" w:firstRowFirstColumn="0" w:firstRowLastColumn="0" w:lastRowFirstColumn="0" w:lastRowLastColumn="0"/>
            <w:tcW w:w="669" w:type="pct"/>
          </w:tcPr>
          <w:p w14:paraId="6E6280A5" w14:textId="77777777" w:rsidR="00E24F39" w:rsidRPr="00F1035F" w:rsidRDefault="00E24F39" w:rsidP="00F1035F">
            <w:pPr>
              <w:pStyle w:val="Tabletext"/>
            </w:pPr>
            <w:r w:rsidRPr="00F1035F">
              <w:t>0.8</w:t>
            </w:r>
          </w:p>
        </w:tc>
      </w:tr>
    </w:tbl>
    <w:p w14:paraId="71317D8A" w14:textId="2CC048B1" w:rsidR="00E24F39" w:rsidRDefault="00E24F39" w:rsidP="008345AD">
      <w:pPr>
        <w:pStyle w:val="Chartright-SourcesNotes"/>
      </w:pPr>
      <w:r w:rsidRPr="00C04725">
        <w:t xml:space="preserve">Notes: In this sensitivity analysis, a synthetic energy price index that combines oil and gas futures prices is used. The </w:t>
      </w:r>
      <w:r>
        <w:t>various</w:t>
      </w:r>
      <w:r w:rsidRPr="00C04725">
        <w:t xml:space="preserve"> percentiles refer to the option-implied neutral densities for the oil and gas prices on </w:t>
      </w:r>
      <w:r>
        <w:t>11 March</w:t>
      </w:r>
      <w:r w:rsidRPr="00C04725">
        <w:t xml:space="preserve"> 202</w:t>
      </w:r>
      <w:r>
        <w:t>6</w:t>
      </w:r>
      <w:r w:rsidRPr="00C04725">
        <w:t xml:space="preserve">. The constant oil and gas prices take the respective value as at the same date. The macroeconomic impacts are reported as averages of a number of ECB and </w:t>
      </w:r>
      <w:proofErr w:type="spellStart"/>
      <w:r w:rsidRPr="00C04725">
        <w:t>Eurosystem</w:t>
      </w:r>
      <w:proofErr w:type="spellEnd"/>
      <w:r w:rsidRPr="00C04725">
        <w:t xml:space="preserve"> staff macroeconomic models.</w:t>
      </w:r>
      <w:r>
        <w:t xml:space="preserve"> </w:t>
      </w:r>
      <w:r w:rsidRPr="00B2443E">
        <w:t xml:space="preserve">In some models, the large inflation response to an </w:t>
      </w:r>
      <w:proofErr w:type="gramStart"/>
      <w:r w:rsidRPr="00B2443E">
        <w:t>energy price increase lead</w:t>
      </w:r>
      <w:r>
        <w:t>s</w:t>
      </w:r>
      <w:proofErr w:type="gramEnd"/>
      <w:r w:rsidRPr="00B2443E">
        <w:t xml:space="preserve">, under the assumption of </w:t>
      </w:r>
      <w:r>
        <w:t>an unchanged</w:t>
      </w:r>
      <w:r w:rsidRPr="00B2443E">
        <w:t xml:space="preserve"> monetary policy</w:t>
      </w:r>
      <w:r>
        <w:t xml:space="preserve"> (compared with the baseline assumptions </w:t>
      </w:r>
      <w:r w:rsidRPr="00885EE5">
        <w:t>based on market expectations for interest rates</w:t>
      </w:r>
      <w:r>
        <w:t>)</w:t>
      </w:r>
      <w:r w:rsidRPr="00B2443E">
        <w:t xml:space="preserve">, to a sizeable decline in real interest rates and a temporary expansionary demand effect, which </w:t>
      </w:r>
      <w:r w:rsidRPr="005E2A73">
        <w:t xml:space="preserve">attenuate </w:t>
      </w:r>
      <w:r w:rsidRPr="00B2443E">
        <w:t>the average GDP response in the short run.</w:t>
      </w:r>
    </w:p>
    <w:p w14:paraId="12AA062E" w14:textId="77777777" w:rsidR="00E24F39" w:rsidRDefault="00E24F39" w:rsidP="008345AD">
      <w:pPr>
        <w:pStyle w:val="Heading2"/>
      </w:pPr>
      <w:bookmarkStart w:id="15" w:name="_Toc224823022"/>
      <w:r>
        <w:t>A</w:t>
      </w:r>
      <w:r w:rsidRPr="001C12C3">
        <w:t>lternative exchange rate paths</w:t>
      </w:r>
      <w:bookmarkEnd w:id="15"/>
    </w:p>
    <w:p w14:paraId="1FBBCDAF" w14:textId="11863F9D" w:rsidR="00E24F39" w:rsidRDefault="00E24F39" w:rsidP="008345AD">
      <w:r>
        <w:rPr>
          <w:rStyle w:val="IntenseEmphasis"/>
        </w:rPr>
        <w:t>A</w:t>
      </w:r>
      <w:r w:rsidRPr="001C12C3">
        <w:rPr>
          <w:rStyle w:val="IntenseEmphasis"/>
        </w:rPr>
        <w:t>lternative paths for the exchange rate</w:t>
      </w:r>
      <w:r>
        <w:rPr>
          <w:rStyle w:val="IntenseEmphasis"/>
        </w:rPr>
        <w:t xml:space="preserve"> suggest the possibility of a further appreciation of the euro</w:t>
      </w:r>
      <w:r w:rsidRPr="00D70323">
        <w:rPr>
          <w:rStyle w:val="IntenseEmphasis"/>
        </w:rPr>
        <w:t xml:space="preserve">, especially over the </w:t>
      </w:r>
      <w:r>
        <w:rPr>
          <w:rStyle w:val="IntenseEmphasis"/>
        </w:rPr>
        <w:t>medium</w:t>
      </w:r>
      <w:r w:rsidRPr="00D70323">
        <w:rPr>
          <w:rStyle w:val="IntenseEmphasis"/>
        </w:rPr>
        <w:t xml:space="preserve"> term,</w:t>
      </w:r>
      <w:r w:rsidRPr="00E035CC">
        <w:t xml:space="preserve"> </w:t>
      </w:r>
      <w:r>
        <w:rPr>
          <w:rStyle w:val="IntenseEmphasis"/>
        </w:rPr>
        <w:t xml:space="preserve">and hence </w:t>
      </w:r>
      <w:r w:rsidRPr="001C12C3">
        <w:rPr>
          <w:rStyle w:val="IntenseEmphasis"/>
        </w:rPr>
        <w:t>indicate</w:t>
      </w:r>
      <w:r>
        <w:rPr>
          <w:rStyle w:val="IntenseEmphasis"/>
        </w:rPr>
        <w:t xml:space="preserve"> some </w:t>
      </w:r>
      <w:r w:rsidRPr="001C12C3">
        <w:rPr>
          <w:rStyle w:val="IntenseEmphasis"/>
        </w:rPr>
        <w:t>downside risks to growth and inflation.</w:t>
      </w:r>
      <w:r w:rsidRPr="001C12C3">
        <w:t xml:space="preserve"> The </w:t>
      </w:r>
      <w:r>
        <w:t xml:space="preserve">technical assumptions for </w:t>
      </w:r>
      <w:r w:rsidRPr="001C12C3">
        <w:t>exchange rates in the baseline projections are held constant over the projection horizon. Alternative</w:t>
      </w:r>
      <w:r w:rsidRPr="00C565B1">
        <w:rPr>
          <w:rFonts w:hint="eastAsia"/>
        </w:rPr>
        <w:t xml:space="preserve"> </w:t>
      </w:r>
      <w:r w:rsidRPr="00C565B1">
        <w:t>upside</w:t>
      </w:r>
      <w:r w:rsidRPr="001C12C3">
        <w:t xml:space="preserve"> </w:t>
      </w:r>
      <w:r>
        <w:t xml:space="preserve">and downside </w:t>
      </w:r>
      <w:r w:rsidRPr="001C12C3">
        <w:t xml:space="preserve">paths are derived from the 25th and 75th percentiles of option-implied neutral densities for the USD/EUR exchange rate on </w:t>
      </w:r>
      <w:r>
        <w:t>11 March</w:t>
      </w:r>
      <w:r w:rsidRPr="001C12C3">
        <w:t xml:space="preserve"> 202</w:t>
      </w:r>
      <w:r>
        <w:t>6</w:t>
      </w:r>
      <w:r w:rsidRPr="001C12C3">
        <w:t xml:space="preserve">, which </w:t>
      </w:r>
      <w:r>
        <w:t>was</w:t>
      </w:r>
      <w:r w:rsidRPr="001C12C3">
        <w:t xml:space="preserve"> tilted towards a</w:t>
      </w:r>
      <w:r>
        <w:t xml:space="preserve"> modest</w:t>
      </w:r>
      <w:r w:rsidRPr="001C12C3">
        <w:t xml:space="preserve"> appreciation of the euro (</w:t>
      </w:r>
      <w:r>
        <w:rPr>
          <w:rStyle w:val="IntenseEmphasis"/>
        </w:rPr>
        <w:fldChar w:fldCharType="begin"/>
      </w:r>
      <w:r>
        <w:instrText xml:space="preserve"> REF _Ref175222631 \h </w:instrText>
      </w:r>
      <w:r>
        <w:rPr>
          <w:rStyle w:val="IntenseEmphasis"/>
        </w:rPr>
      </w:r>
      <w:r>
        <w:rPr>
          <w:rStyle w:val="IntenseEmphasis"/>
        </w:rPr>
        <w:fldChar w:fldCharType="separate"/>
      </w:r>
      <w:r w:rsidR="004D705B" w:rsidRPr="00C565B1">
        <w:rPr>
          <w:rStyle w:val="IntenseEmphasis"/>
        </w:rPr>
        <w:t xml:space="preserve">Chart </w:t>
      </w:r>
      <w:r w:rsidR="004D705B">
        <w:rPr>
          <w:rStyle w:val="IntenseEmphasis"/>
          <w:noProof/>
        </w:rPr>
        <w:t>17</w:t>
      </w:r>
      <w:r>
        <w:rPr>
          <w:rStyle w:val="IntenseEmphasis"/>
        </w:rPr>
        <w:fldChar w:fldCharType="end"/>
      </w:r>
      <w:r w:rsidRPr="001D03F8">
        <w:t>)</w:t>
      </w:r>
      <w:r w:rsidRPr="001C12C3">
        <w:t>. The impacts of the</w:t>
      </w:r>
      <w:r>
        <w:t>se</w:t>
      </w:r>
      <w:r w:rsidRPr="001C12C3">
        <w:t xml:space="preserve"> alternative paths are assessed using ECB and </w:t>
      </w:r>
      <w:proofErr w:type="spellStart"/>
      <w:r w:rsidRPr="001C12C3">
        <w:t>Eurosystem</w:t>
      </w:r>
      <w:proofErr w:type="spellEnd"/>
      <w:r w:rsidRPr="001C12C3">
        <w:t xml:space="preserve"> </w:t>
      </w:r>
      <w:r>
        <w:t xml:space="preserve">staff </w:t>
      </w:r>
      <w:r w:rsidRPr="001C12C3">
        <w:t>macroeconomic mode</w:t>
      </w:r>
      <w:r>
        <w:t>ls</w:t>
      </w:r>
      <w:r w:rsidRPr="001C12C3">
        <w:t xml:space="preserve">. </w:t>
      </w:r>
      <w:r w:rsidR="00346589">
        <w:fldChar w:fldCharType="begin"/>
      </w:r>
      <w:r w:rsidR="00346589">
        <w:instrText xml:space="preserve"> REF _Ref213252790 \h </w:instrText>
      </w:r>
      <w:r w:rsidR="00346589">
        <w:fldChar w:fldCharType="separate"/>
      </w:r>
      <w:r w:rsidR="004D705B" w:rsidRPr="00C565B1">
        <w:rPr>
          <w:rStyle w:val="IntenseEmphasis"/>
        </w:rPr>
        <w:t xml:space="preserve">Table </w:t>
      </w:r>
      <w:r w:rsidR="004D705B">
        <w:rPr>
          <w:rStyle w:val="IntenseEmphasis"/>
          <w:noProof/>
        </w:rPr>
        <w:t>7</w:t>
      </w:r>
      <w:r w:rsidR="00346589">
        <w:fldChar w:fldCharType="end"/>
      </w:r>
      <w:r w:rsidR="00346589">
        <w:t xml:space="preserve"> </w:t>
      </w:r>
      <w:r>
        <w:t>shows t</w:t>
      </w:r>
      <w:r w:rsidRPr="001C12C3">
        <w:t>he average impact on output growth and inflation across the models</w:t>
      </w:r>
      <w:r>
        <w:t>.</w:t>
      </w:r>
    </w:p>
    <w:p w14:paraId="02CE642E" w14:textId="35E301EE" w:rsidR="00E24F39" w:rsidRDefault="00E24F39" w:rsidP="008345AD">
      <w:pPr>
        <w:pStyle w:val="Chartright-Heading"/>
      </w:pPr>
      <w:r w:rsidRPr="00C565B1">
        <w:rPr>
          <w:rStyle w:val="IntenseEmphasis"/>
        </w:rPr>
        <w:lastRenderedPageBreak/>
        <w:t xml:space="preserve">Chart </w:t>
      </w:r>
      <w:r w:rsidRPr="00C565B1">
        <w:rPr>
          <w:rStyle w:val="IntenseEmphasis"/>
        </w:rPr>
        <w:fldChar w:fldCharType="begin"/>
      </w:r>
      <w:r w:rsidRPr="00C565B1">
        <w:rPr>
          <w:rStyle w:val="IntenseEmphasis"/>
        </w:rPr>
        <w:instrText xml:space="preserve"> SEQ Chart \* ARABIC </w:instrText>
      </w:r>
      <w:r w:rsidRPr="00C565B1">
        <w:rPr>
          <w:rStyle w:val="IntenseEmphasis"/>
        </w:rPr>
        <w:fldChar w:fldCharType="separate"/>
      </w:r>
      <w:r w:rsidR="004D705B">
        <w:rPr>
          <w:rStyle w:val="IntenseEmphasis"/>
          <w:noProof/>
        </w:rPr>
        <w:t>17</w:t>
      </w:r>
      <w:r w:rsidRPr="00C565B1">
        <w:rPr>
          <w:rStyle w:val="IntenseEmphasis"/>
        </w:rPr>
        <w:fldChar w:fldCharType="end"/>
      </w:r>
      <w:r w:rsidRPr="00C565B1">
        <w:rPr>
          <w:rStyle w:val="IntenseEmphasis"/>
        </w:rPr>
        <w:br/>
      </w:r>
      <w:r w:rsidRPr="00C565B1">
        <w:t xml:space="preserve">Alternative paths for the USD/EUR exchange rate </w:t>
      </w:r>
    </w:p>
    <w:p w14:paraId="42E5F5A1" w14:textId="77777777" w:rsidR="00E24F39" w:rsidRPr="00C565B1" w:rsidRDefault="00E24F39" w:rsidP="00651710">
      <w:pPr>
        <w:pStyle w:val="Chartright-Picture"/>
      </w:pPr>
      <w:r>
        <w:rPr>
          <w:noProof/>
        </w:rPr>
        <w:drawing>
          <wp:inline distT="0" distB="0" distL="0" distR="0" wp14:anchorId="141DBAB7" wp14:editId="5390A870">
            <wp:extent cx="4542155" cy="2164080"/>
            <wp:effectExtent l="0" t="0" r="0" b="7620"/>
            <wp:docPr id="662617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2155" cy="2164080"/>
                    </a:xfrm>
                    <a:prstGeom prst="rect">
                      <a:avLst/>
                    </a:prstGeom>
                    <a:noFill/>
                  </pic:spPr>
                </pic:pic>
              </a:graphicData>
            </a:graphic>
          </wp:inline>
        </w:drawing>
      </w:r>
    </w:p>
    <w:p w14:paraId="0B0CEED2" w14:textId="599BF309" w:rsidR="00E24F39" w:rsidRPr="00C565B1" w:rsidRDefault="00E24F39" w:rsidP="008345AD">
      <w:pPr>
        <w:pStyle w:val="Chartright-SourcesNotes"/>
      </w:pPr>
      <w:r w:rsidRPr="00C565B1">
        <w:t xml:space="preserve">Sources: Bloomberg </w:t>
      </w:r>
      <w:r>
        <w:t xml:space="preserve">and </w:t>
      </w:r>
      <w:r w:rsidRPr="00C565B1">
        <w:t xml:space="preserve">ECB staff calculations. </w:t>
      </w:r>
      <w:r>
        <w:br/>
      </w:r>
      <w:r w:rsidRPr="00C565B1">
        <w:t>Note</w:t>
      </w:r>
      <w:r>
        <w:t>s: A</w:t>
      </w:r>
      <w:r w:rsidRPr="00C565B1">
        <w:t xml:space="preserve">n increase implies an appreciation of the euro. The 25th and 75th percentiles refer to the option-implied densities for the USD/EUR exchange rate </w:t>
      </w:r>
      <w:r w:rsidR="00240E29">
        <w:t>on</w:t>
      </w:r>
      <w:r w:rsidRPr="00C565B1" w:rsidDel="0074030A">
        <w:t xml:space="preserve"> </w:t>
      </w:r>
      <w:r>
        <w:t xml:space="preserve">11 March </w:t>
      </w:r>
      <w:r w:rsidRPr="00C565B1">
        <w:t>202</w:t>
      </w:r>
      <w:r>
        <w:t>6</w:t>
      </w:r>
      <w:r w:rsidRPr="00C565B1">
        <w:t xml:space="preserve">. </w:t>
      </w:r>
    </w:p>
    <w:p w14:paraId="0A32A3CB" w14:textId="125DA1BC" w:rsidR="00E24F39" w:rsidRPr="004D42D6" w:rsidRDefault="00E24F39" w:rsidP="00864025">
      <w:pPr>
        <w:pStyle w:val="Chartright-Heading"/>
      </w:pPr>
      <w:r w:rsidRPr="00C565B1">
        <w:rPr>
          <w:rStyle w:val="IntenseEmphasis"/>
        </w:rPr>
        <w:t xml:space="preserve">Table </w:t>
      </w:r>
      <w:r w:rsidRPr="00C565B1">
        <w:rPr>
          <w:rStyle w:val="IntenseEmphasis"/>
        </w:rPr>
        <w:fldChar w:fldCharType="begin"/>
      </w:r>
      <w:r w:rsidRPr="00C565B1">
        <w:rPr>
          <w:rStyle w:val="IntenseEmphasis"/>
        </w:rPr>
        <w:instrText xml:space="preserve"> SEQ Table \* ARABIC </w:instrText>
      </w:r>
      <w:r w:rsidRPr="00C565B1">
        <w:rPr>
          <w:rStyle w:val="IntenseEmphasis"/>
        </w:rPr>
        <w:fldChar w:fldCharType="separate"/>
      </w:r>
      <w:r w:rsidR="004D705B">
        <w:rPr>
          <w:rStyle w:val="IntenseEmphasis"/>
          <w:noProof/>
        </w:rPr>
        <w:t>7</w:t>
      </w:r>
      <w:r w:rsidRPr="00C565B1">
        <w:rPr>
          <w:rStyle w:val="IntenseEmphasis"/>
        </w:rPr>
        <w:fldChar w:fldCharType="end"/>
      </w:r>
      <w:r w:rsidRPr="00C04725">
        <w:br/>
      </w:r>
      <w:r>
        <w:t>Impact of alternative exchange rate paths on real GDP growth and HICP inflation</w:t>
      </w:r>
    </w:p>
    <w:tbl>
      <w:tblPr>
        <w:tblStyle w:val="Tablecentrealigned"/>
        <w:tblW w:w="5000" w:type="pct"/>
        <w:tblLayout w:type="fixed"/>
        <w:tblLook w:val="02A0" w:firstRow="1" w:lastRow="0" w:firstColumn="1" w:lastColumn="0" w:noHBand="1" w:noVBand="0"/>
      </w:tblPr>
      <w:tblGrid>
        <w:gridCol w:w="2237"/>
        <w:gridCol w:w="821"/>
        <w:gridCol w:w="823"/>
        <w:gridCol w:w="823"/>
        <w:gridCol w:w="812"/>
        <w:gridCol w:w="812"/>
        <w:gridCol w:w="816"/>
      </w:tblGrid>
      <w:tr w:rsidR="00E24F39" w:rsidRPr="006E6A8C" w14:paraId="0036F2AE" w14:textId="77777777" w:rsidTr="00DA09C4">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566" w:type="pct"/>
            <w:vMerge w:val="restart"/>
          </w:tcPr>
          <w:p w14:paraId="53C24A62" w14:textId="77777777" w:rsidR="00E24F39" w:rsidRPr="00F1035F" w:rsidRDefault="00E24F39" w:rsidP="00F1035F">
            <w:pPr>
              <w:rPr>
                <w:rStyle w:val="IntenseEmphasis"/>
              </w:rPr>
            </w:pPr>
          </w:p>
        </w:tc>
        <w:tc>
          <w:tcPr>
            <w:cnfStyle w:val="000010000000" w:firstRow="0" w:lastRow="0" w:firstColumn="0" w:lastColumn="0" w:oddVBand="1" w:evenVBand="0" w:oddHBand="0" w:evenHBand="0" w:firstRowFirstColumn="0" w:firstRowLastColumn="0" w:lastRowFirstColumn="0" w:lastRowLastColumn="0"/>
            <w:tcW w:w="1727" w:type="pct"/>
            <w:gridSpan w:val="3"/>
          </w:tcPr>
          <w:p w14:paraId="5FAC6ED0" w14:textId="77777777" w:rsidR="00E24F39" w:rsidRPr="00F1035F" w:rsidRDefault="00E24F39" w:rsidP="00F1035F">
            <w:r w:rsidRPr="00F1035F">
              <w:t>Path 1: 25th percentile</w:t>
            </w:r>
          </w:p>
        </w:tc>
        <w:tc>
          <w:tcPr>
            <w:cnfStyle w:val="000001000000" w:firstRow="0" w:lastRow="0" w:firstColumn="0" w:lastColumn="0" w:oddVBand="0" w:evenVBand="1" w:oddHBand="0" w:evenHBand="0" w:firstRowFirstColumn="0" w:firstRowLastColumn="0" w:lastRowFirstColumn="0" w:lastRowLastColumn="0"/>
            <w:tcW w:w="1708" w:type="pct"/>
            <w:gridSpan w:val="3"/>
          </w:tcPr>
          <w:p w14:paraId="7523F9E6" w14:textId="77777777" w:rsidR="00E24F39" w:rsidRPr="00F1035F" w:rsidRDefault="00E24F39" w:rsidP="00F1035F">
            <w:r w:rsidRPr="00F1035F">
              <w:t>Path 2: 75th percentile</w:t>
            </w:r>
          </w:p>
        </w:tc>
      </w:tr>
      <w:tr w:rsidR="00E24F39" w:rsidRPr="006E6A8C" w14:paraId="1D47CC6C" w14:textId="77777777" w:rsidTr="00E24F39">
        <w:trPr>
          <w:cnfStyle w:val="100000000000" w:firstRow="1" w:lastRow="0" w:firstColumn="0" w:lastColumn="0" w:oddVBand="0" w:evenVBand="0" w:oddHBand="0" w:evenHBand="0" w:firstRowFirstColumn="0" w:firstRowLastColumn="0" w:lastRowFirstColumn="0" w:lastRowLastColumn="0"/>
          <w:trHeight w:val="128"/>
          <w:tblHeader/>
        </w:trPr>
        <w:tc>
          <w:tcPr>
            <w:cnfStyle w:val="001000000000" w:firstRow="0" w:lastRow="0" w:firstColumn="1" w:lastColumn="0" w:oddVBand="0" w:evenVBand="0" w:oddHBand="0" w:evenHBand="0" w:firstRowFirstColumn="0" w:firstRowLastColumn="0" w:lastRowFirstColumn="0" w:lastRowLastColumn="0"/>
            <w:tcW w:w="1566" w:type="pct"/>
            <w:vMerge/>
          </w:tcPr>
          <w:p w14:paraId="5708B615" w14:textId="77777777" w:rsidR="00E24F39" w:rsidRPr="00F1035F" w:rsidRDefault="00E24F39" w:rsidP="00F1035F">
            <w:pPr>
              <w:rPr>
                <w:rStyle w:val="IntenseEmphasis"/>
              </w:rPr>
            </w:pPr>
          </w:p>
        </w:tc>
        <w:tc>
          <w:tcPr>
            <w:cnfStyle w:val="000010000000" w:firstRow="0" w:lastRow="0" w:firstColumn="0" w:lastColumn="0" w:oddVBand="1" w:evenVBand="0" w:oddHBand="0" w:evenHBand="0" w:firstRowFirstColumn="0" w:firstRowLastColumn="0" w:lastRowFirstColumn="0" w:lastRowLastColumn="0"/>
            <w:tcW w:w="575" w:type="pct"/>
            <w:noWrap/>
          </w:tcPr>
          <w:p w14:paraId="043E184E" w14:textId="77777777" w:rsidR="00E24F39" w:rsidRPr="00F1035F" w:rsidRDefault="00E24F39" w:rsidP="00F1035F">
            <w:r w:rsidRPr="00F1035F">
              <w:t>2026</w:t>
            </w:r>
          </w:p>
        </w:tc>
        <w:tc>
          <w:tcPr>
            <w:cnfStyle w:val="000001000000" w:firstRow="0" w:lastRow="0" w:firstColumn="0" w:lastColumn="0" w:oddVBand="0" w:evenVBand="1" w:oddHBand="0" w:evenHBand="0" w:firstRowFirstColumn="0" w:firstRowLastColumn="0" w:lastRowFirstColumn="0" w:lastRowLastColumn="0"/>
            <w:tcW w:w="576" w:type="pct"/>
          </w:tcPr>
          <w:p w14:paraId="5D370D93" w14:textId="77777777" w:rsidR="00E24F39" w:rsidRPr="00F1035F" w:rsidRDefault="00E24F39" w:rsidP="00F1035F">
            <w:r w:rsidRPr="00F1035F">
              <w:t>2027</w:t>
            </w:r>
          </w:p>
        </w:tc>
        <w:tc>
          <w:tcPr>
            <w:cnfStyle w:val="000010000000" w:firstRow="0" w:lastRow="0" w:firstColumn="0" w:lastColumn="0" w:oddVBand="1" w:evenVBand="0" w:oddHBand="0" w:evenHBand="0" w:firstRowFirstColumn="0" w:firstRowLastColumn="0" w:lastRowFirstColumn="0" w:lastRowLastColumn="0"/>
            <w:tcW w:w="576" w:type="pct"/>
            <w:noWrap/>
          </w:tcPr>
          <w:p w14:paraId="2410A4CF" w14:textId="77777777" w:rsidR="00E24F39" w:rsidRPr="00F1035F" w:rsidRDefault="00E24F39" w:rsidP="00F1035F">
            <w:r w:rsidRPr="00F1035F">
              <w:t>2028</w:t>
            </w:r>
          </w:p>
        </w:tc>
        <w:tc>
          <w:tcPr>
            <w:cnfStyle w:val="000001000000" w:firstRow="0" w:lastRow="0" w:firstColumn="0" w:lastColumn="0" w:oddVBand="0" w:evenVBand="1" w:oddHBand="0" w:evenHBand="0" w:firstRowFirstColumn="0" w:firstRowLastColumn="0" w:lastRowFirstColumn="0" w:lastRowLastColumn="0"/>
            <w:tcW w:w="568" w:type="pct"/>
            <w:noWrap/>
          </w:tcPr>
          <w:p w14:paraId="2D8F5BF6" w14:textId="77777777" w:rsidR="00E24F39" w:rsidRPr="00F1035F" w:rsidRDefault="00E24F39" w:rsidP="00F1035F">
            <w:r w:rsidRPr="00F1035F">
              <w:t>2026</w:t>
            </w:r>
          </w:p>
        </w:tc>
        <w:tc>
          <w:tcPr>
            <w:cnfStyle w:val="000010000000" w:firstRow="0" w:lastRow="0" w:firstColumn="0" w:lastColumn="0" w:oddVBand="1" w:evenVBand="0" w:oddHBand="0" w:evenHBand="0" w:firstRowFirstColumn="0" w:firstRowLastColumn="0" w:lastRowFirstColumn="0" w:lastRowLastColumn="0"/>
            <w:tcW w:w="568" w:type="pct"/>
            <w:noWrap/>
          </w:tcPr>
          <w:p w14:paraId="6FC7C022" w14:textId="77777777" w:rsidR="00E24F39" w:rsidRPr="00F1035F" w:rsidRDefault="00E24F39" w:rsidP="00F1035F">
            <w:r w:rsidRPr="00F1035F">
              <w:t>2027</w:t>
            </w:r>
          </w:p>
        </w:tc>
        <w:tc>
          <w:tcPr>
            <w:cnfStyle w:val="000001000000" w:firstRow="0" w:lastRow="0" w:firstColumn="0" w:lastColumn="0" w:oddVBand="0" w:evenVBand="1" w:oddHBand="0" w:evenHBand="0" w:firstRowFirstColumn="0" w:firstRowLastColumn="0" w:lastRowFirstColumn="0" w:lastRowLastColumn="0"/>
            <w:tcW w:w="571" w:type="pct"/>
          </w:tcPr>
          <w:p w14:paraId="5D22DB66" w14:textId="77777777" w:rsidR="00E24F39" w:rsidRPr="00F1035F" w:rsidRDefault="00E24F39" w:rsidP="00F1035F">
            <w:r w:rsidRPr="00F1035F">
              <w:t>2028</w:t>
            </w:r>
          </w:p>
        </w:tc>
      </w:tr>
      <w:tr w:rsidR="00E24F39" w:rsidRPr="006E6A8C" w14:paraId="278F509D" w14:textId="77777777" w:rsidTr="00DA09C4">
        <w:trPr>
          <w:trHeight w:val="283"/>
        </w:trPr>
        <w:tc>
          <w:tcPr>
            <w:cnfStyle w:val="001000000000" w:firstRow="0" w:lastRow="0" w:firstColumn="1" w:lastColumn="0" w:oddVBand="0" w:evenVBand="0" w:oddHBand="0" w:evenHBand="0" w:firstRowFirstColumn="0" w:firstRowLastColumn="0" w:lastRowFirstColumn="0" w:lastRowLastColumn="0"/>
            <w:tcW w:w="1566" w:type="pct"/>
            <w:tcBorders>
              <w:top w:val="single" w:sz="4" w:space="0" w:color="003299"/>
            </w:tcBorders>
          </w:tcPr>
          <w:p w14:paraId="667A0214" w14:textId="77777777" w:rsidR="00E24F39" w:rsidRPr="00F1035F" w:rsidRDefault="00E24F39" w:rsidP="00F1035F">
            <w:r w:rsidRPr="00F1035F">
              <w:t>USD/EUR exchange rate</w:t>
            </w:r>
          </w:p>
        </w:tc>
        <w:tc>
          <w:tcPr>
            <w:cnfStyle w:val="000010000000" w:firstRow="0" w:lastRow="0" w:firstColumn="0" w:lastColumn="0" w:oddVBand="1" w:evenVBand="0" w:oddHBand="0" w:evenHBand="0" w:firstRowFirstColumn="0" w:firstRowLastColumn="0" w:lastRowFirstColumn="0" w:lastRowLastColumn="0"/>
            <w:tcW w:w="575" w:type="pct"/>
            <w:tcBorders>
              <w:top w:val="single" w:sz="4" w:space="0" w:color="003299"/>
            </w:tcBorders>
            <w:noWrap/>
          </w:tcPr>
          <w:p w14:paraId="71AEB7F7" w14:textId="77777777" w:rsidR="00E24F39" w:rsidRPr="00F1035F" w:rsidDel="005346E4" w:rsidRDefault="00E24F39" w:rsidP="00F1035F">
            <w:pPr>
              <w:pStyle w:val="Tabletext"/>
            </w:pPr>
            <w:r w:rsidRPr="00F1035F">
              <w:t>1.14</w:t>
            </w:r>
          </w:p>
        </w:tc>
        <w:tc>
          <w:tcPr>
            <w:cnfStyle w:val="000001000000" w:firstRow="0" w:lastRow="0" w:firstColumn="0" w:lastColumn="0" w:oddVBand="0" w:evenVBand="1" w:oddHBand="0" w:evenHBand="0" w:firstRowFirstColumn="0" w:firstRowLastColumn="0" w:lastRowFirstColumn="0" w:lastRowLastColumn="0"/>
            <w:tcW w:w="576" w:type="pct"/>
            <w:tcBorders>
              <w:top w:val="single" w:sz="4" w:space="0" w:color="003299"/>
            </w:tcBorders>
          </w:tcPr>
          <w:p w14:paraId="56D484DA" w14:textId="77777777" w:rsidR="00E24F39" w:rsidRPr="00F1035F" w:rsidRDefault="00E24F39" w:rsidP="00F1035F">
            <w:pPr>
              <w:pStyle w:val="Tabletext"/>
            </w:pPr>
            <w:r w:rsidRPr="00F1035F">
              <w:t>1.11</w:t>
            </w:r>
          </w:p>
        </w:tc>
        <w:tc>
          <w:tcPr>
            <w:cnfStyle w:val="000010000000" w:firstRow="0" w:lastRow="0" w:firstColumn="0" w:lastColumn="0" w:oddVBand="1" w:evenVBand="0" w:oddHBand="0" w:evenHBand="0" w:firstRowFirstColumn="0" w:firstRowLastColumn="0" w:lastRowFirstColumn="0" w:lastRowLastColumn="0"/>
            <w:tcW w:w="576" w:type="pct"/>
            <w:tcBorders>
              <w:top w:val="single" w:sz="4" w:space="0" w:color="003299"/>
            </w:tcBorders>
            <w:noWrap/>
          </w:tcPr>
          <w:p w14:paraId="31F97E6E" w14:textId="77777777" w:rsidR="00E24F39" w:rsidRPr="00F1035F" w:rsidDel="005346E4" w:rsidRDefault="00E24F39" w:rsidP="00F1035F">
            <w:pPr>
              <w:pStyle w:val="Tabletext"/>
            </w:pPr>
            <w:r w:rsidRPr="00F1035F">
              <w:t>1.10</w:t>
            </w:r>
          </w:p>
        </w:tc>
        <w:tc>
          <w:tcPr>
            <w:cnfStyle w:val="000001000000" w:firstRow="0" w:lastRow="0" w:firstColumn="0" w:lastColumn="0" w:oddVBand="0" w:evenVBand="1" w:oddHBand="0" w:evenHBand="0" w:firstRowFirstColumn="0" w:firstRowLastColumn="0" w:lastRowFirstColumn="0" w:lastRowLastColumn="0"/>
            <w:tcW w:w="568" w:type="pct"/>
            <w:tcBorders>
              <w:top w:val="single" w:sz="4" w:space="0" w:color="003299"/>
            </w:tcBorders>
            <w:noWrap/>
          </w:tcPr>
          <w:p w14:paraId="4B7416A1" w14:textId="77777777" w:rsidR="00E24F39" w:rsidRPr="00F1035F" w:rsidDel="005346E4" w:rsidRDefault="00E24F39" w:rsidP="00F1035F">
            <w:pPr>
              <w:pStyle w:val="Tabletext"/>
            </w:pPr>
            <w:r w:rsidRPr="00F1035F">
              <w:t>1.19</w:t>
            </w:r>
          </w:p>
        </w:tc>
        <w:tc>
          <w:tcPr>
            <w:cnfStyle w:val="000010000000" w:firstRow="0" w:lastRow="0" w:firstColumn="0" w:lastColumn="0" w:oddVBand="1" w:evenVBand="0" w:oddHBand="0" w:evenHBand="0" w:firstRowFirstColumn="0" w:firstRowLastColumn="0" w:lastRowFirstColumn="0" w:lastRowLastColumn="0"/>
            <w:tcW w:w="568" w:type="pct"/>
            <w:tcBorders>
              <w:top w:val="single" w:sz="4" w:space="0" w:color="003299"/>
            </w:tcBorders>
            <w:noWrap/>
          </w:tcPr>
          <w:p w14:paraId="3F950211" w14:textId="77777777" w:rsidR="00E24F39" w:rsidRPr="00F1035F" w:rsidDel="005346E4" w:rsidRDefault="00E24F39" w:rsidP="00F1035F">
            <w:pPr>
              <w:pStyle w:val="Tabletext"/>
            </w:pPr>
            <w:r w:rsidRPr="00F1035F">
              <w:t>1.24</w:t>
            </w:r>
          </w:p>
        </w:tc>
        <w:tc>
          <w:tcPr>
            <w:cnfStyle w:val="000001000000" w:firstRow="0" w:lastRow="0" w:firstColumn="0" w:lastColumn="0" w:oddVBand="0" w:evenVBand="1" w:oddHBand="0" w:evenHBand="0" w:firstRowFirstColumn="0" w:firstRowLastColumn="0" w:lastRowFirstColumn="0" w:lastRowLastColumn="0"/>
            <w:tcW w:w="571" w:type="pct"/>
            <w:tcBorders>
              <w:top w:val="single" w:sz="4" w:space="0" w:color="003299"/>
            </w:tcBorders>
          </w:tcPr>
          <w:p w14:paraId="527D2F60" w14:textId="77777777" w:rsidR="00E24F39" w:rsidRPr="00F1035F" w:rsidRDefault="00E24F39" w:rsidP="00F1035F">
            <w:pPr>
              <w:pStyle w:val="Tabletext"/>
            </w:pPr>
            <w:r w:rsidRPr="00F1035F">
              <w:t>1.27</w:t>
            </w:r>
          </w:p>
        </w:tc>
      </w:tr>
      <w:tr w:rsidR="00E24F39" w:rsidRPr="006E6A8C" w14:paraId="267D5D70" w14:textId="77777777" w:rsidTr="00DA09C4">
        <w:trPr>
          <w:trHeight w:val="283"/>
        </w:trPr>
        <w:tc>
          <w:tcPr>
            <w:cnfStyle w:val="001000000000" w:firstRow="0" w:lastRow="0" w:firstColumn="1" w:lastColumn="0" w:oddVBand="0" w:evenVBand="0" w:oddHBand="0" w:evenHBand="0" w:firstRowFirstColumn="0" w:firstRowLastColumn="0" w:lastRowFirstColumn="0" w:lastRowLastColumn="0"/>
            <w:tcW w:w="1566" w:type="pct"/>
            <w:tcBorders>
              <w:bottom w:val="single" w:sz="4" w:space="0" w:color="003299"/>
            </w:tcBorders>
          </w:tcPr>
          <w:p w14:paraId="40146F9A" w14:textId="77777777" w:rsidR="00E24F39" w:rsidRPr="00F1035F" w:rsidRDefault="00E24F39" w:rsidP="00F1035F">
            <w:r w:rsidRPr="00F1035F">
              <w:t>USD/EUR exchange rate (% deviation from baseline)</w:t>
            </w:r>
          </w:p>
        </w:tc>
        <w:tc>
          <w:tcPr>
            <w:cnfStyle w:val="000010000000" w:firstRow="0" w:lastRow="0" w:firstColumn="0" w:lastColumn="0" w:oddVBand="1" w:evenVBand="0" w:oddHBand="0" w:evenHBand="0" w:firstRowFirstColumn="0" w:firstRowLastColumn="0" w:lastRowFirstColumn="0" w:lastRowLastColumn="0"/>
            <w:tcW w:w="575" w:type="pct"/>
            <w:tcBorders>
              <w:bottom w:val="single" w:sz="4" w:space="0" w:color="003299"/>
            </w:tcBorders>
            <w:noWrap/>
          </w:tcPr>
          <w:p w14:paraId="6B0A353E" w14:textId="77777777" w:rsidR="00E24F39" w:rsidRPr="00F1035F" w:rsidRDefault="00E24F39" w:rsidP="00F1035F">
            <w:pPr>
              <w:pStyle w:val="Tabletext"/>
            </w:pPr>
            <w:r w:rsidRPr="00F1035F">
              <w:t>-1.9</w:t>
            </w:r>
          </w:p>
        </w:tc>
        <w:tc>
          <w:tcPr>
            <w:cnfStyle w:val="000001000000" w:firstRow="0" w:lastRow="0" w:firstColumn="0" w:lastColumn="0" w:oddVBand="0" w:evenVBand="1" w:oddHBand="0" w:evenHBand="0" w:firstRowFirstColumn="0" w:firstRowLastColumn="0" w:lastRowFirstColumn="0" w:lastRowLastColumn="0"/>
            <w:tcW w:w="576" w:type="pct"/>
            <w:tcBorders>
              <w:bottom w:val="single" w:sz="4" w:space="0" w:color="003299"/>
            </w:tcBorders>
          </w:tcPr>
          <w:p w14:paraId="01A9849D" w14:textId="77777777" w:rsidR="00E24F39" w:rsidRPr="00F1035F" w:rsidRDefault="00E24F39" w:rsidP="00F1035F">
            <w:pPr>
              <w:pStyle w:val="Tabletext"/>
            </w:pPr>
            <w:r w:rsidRPr="00F1035F">
              <w:t>-4.0</w:t>
            </w:r>
          </w:p>
        </w:tc>
        <w:tc>
          <w:tcPr>
            <w:cnfStyle w:val="000010000000" w:firstRow="0" w:lastRow="0" w:firstColumn="0" w:lastColumn="0" w:oddVBand="1" w:evenVBand="0" w:oddHBand="0" w:evenHBand="0" w:firstRowFirstColumn="0" w:firstRowLastColumn="0" w:lastRowFirstColumn="0" w:lastRowLastColumn="0"/>
            <w:tcW w:w="576" w:type="pct"/>
            <w:tcBorders>
              <w:bottom w:val="single" w:sz="4" w:space="0" w:color="003299"/>
            </w:tcBorders>
            <w:noWrap/>
          </w:tcPr>
          <w:p w14:paraId="5F511C87" w14:textId="77777777" w:rsidR="00E24F39" w:rsidRPr="00F1035F" w:rsidRDefault="00E24F39" w:rsidP="00F1035F">
            <w:pPr>
              <w:pStyle w:val="Tabletext"/>
            </w:pPr>
            <w:r w:rsidRPr="00F1035F">
              <w:t>-5.1</w:t>
            </w:r>
          </w:p>
        </w:tc>
        <w:tc>
          <w:tcPr>
            <w:cnfStyle w:val="000001000000" w:firstRow="0" w:lastRow="0" w:firstColumn="0" w:lastColumn="0" w:oddVBand="0" w:evenVBand="1" w:oddHBand="0" w:evenHBand="0" w:firstRowFirstColumn="0" w:firstRowLastColumn="0" w:lastRowFirstColumn="0" w:lastRowLastColumn="0"/>
            <w:tcW w:w="568" w:type="pct"/>
            <w:tcBorders>
              <w:bottom w:val="single" w:sz="4" w:space="0" w:color="003299"/>
            </w:tcBorders>
            <w:noWrap/>
          </w:tcPr>
          <w:p w14:paraId="45C0484D" w14:textId="77777777" w:rsidR="00E24F39" w:rsidRPr="00F1035F" w:rsidRDefault="00E24F39" w:rsidP="00F1035F">
            <w:pPr>
              <w:pStyle w:val="Tabletext"/>
            </w:pPr>
            <w:r w:rsidRPr="00F1035F">
              <w:t>2.5</w:t>
            </w:r>
          </w:p>
        </w:tc>
        <w:tc>
          <w:tcPr>
            <w:cnfStyle w:val="000010000000" w:firstRow="0" w:lastRow="0" w:firstColumn="0" w:lastColumn="0" w:oddVBand="1" w:evenVBand="0" w:oddHBand="0" w:evenHBand="0" w:firstRowFirstColumn="0" w:firstRowLastColumn="0" w:lastRowFirstColumn="0" w:lastRowLastColumn="0"/>
            <w:tcW w:w="568" w:type="pct"/>
            <w:tcBorders>
              <w:bottom w:val="single" w:sz="4" w:space="0" w:color="003299"/>
            </w:tcBorders>
            <w:noWrap/>
          </w:tcPr>
          <w:p w14:paraId="7CA28E6E" w14:textId="77777777" w:rsidR="00E24F39" w:rsidRPr="00F1035F" w:rsidRDefault="00E24F39" w:rsidP="00F1035F">
            <w:pPr>
              <w:pStyle w:val="Tabletext"/>
            </w:pPr>
            <w:r w:rsidRPr="00F1035F">
              <w:t>6.5</w:t>
            </w:r>
          </w:p>
        </w:tc>
        <w:tc>
          <w:tcPr>
            <w:cnfStyle w:val="000001000000" w:firstRow="0" w:lastRow="0" w:firstColumn="0" w:lastColumn="0" w:oddVBand="0" w:evenVBand="1" w:oddHBand="0" w:evenHBand="0" w:firstRowFirstColumn="0" w:firstRowLastColumn="0" w:lastRowFirstColumn="0" w:lastRowLastColumn="0"/>
            <w:tcW w:w="571" w:type="pct"/>
            <w:tcBorders>
              <w:bottom w:val="single" w:sz="4" w:space="0" w:color="003299"/>
            </w:tcBorders>
          </w:tcPr>
          <w:p w14:paraId="033F17B6" w14:textId="77777777" w:rsidR="00E24F39" w:rsidRPr="00F1035F" w:rsidRDefault="00E24F39" w:rsidP="00F1035F">
            <w:pPr>
              <w:pStyle w:val="Tabletext"/>
            </w:pPr>
            <w:r w:rsidRPr="00F1035F">
              <w:t>9.5</w:t>
            </w:r>
          </w:p>
        </w:tc>
      </w:tr>
      <w:tr w:rsidR="00E24F39" w:rsidRPr="006E6A8C" w14:paraId="7F8D1651" w14:textId="77777777" w:rsidTr="004D705B">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003299"/>
              <w:bottom w:val="single" w:sz="4" w:space="0" w:color="003299"/>
              <w:right w:val="none" w:sz="0" w:space="0" w:color="auto"/>
            </w:tcBorders>
          </w:tcPr>
          <w:p w14:paraId="32764DA2" w14:textId="77777777" w:rsidR="00E24F39" w:rsidRPr="00F1035F" w:rsidRDefault="00E24F39" w:rsidP="00F1035F">
            <w:pPr>
              <w:pStyle w:val="Tabletext"/>
            </w:pPr>
            <w:r w:rsidRPr="00F1035F">
              <w:rPr>
                <w:rStyle w:val="IntenseEmphasis"/>
              </w:rPr>
              <w:t>(deviations from baseline growth rates, percentage points)</w:t>
            </w:r>
          </w:p>
        </w:tc>
      </w:tr>
      <w:tr w:rsidR="00E24F39" w:rsidRPr="006E6A8C" w14:paraId="35515A16" w14:textId="77777777" w:rsidTr="00DA09C4">
        <w:trPr>
          <w:trHeight w:val="283"/>
        </w:trPr>
        <w:tc>
          <w:tcPr>
            <w:cnfStyle w:val="001000000000" w:firstRow="0" w:lastRow="0" w:firstColumn="1" w:lastColumn="0" w:oddVBand="0" w:evenVBand="0" w:oddHBand="0" w:evenHBand="0" w:firstRowFirstColumn="0" w:firstRowLastColumn="0" w:lastRowFirstColumn="0" w:lastRowLastColumn="0"/>
            <w:tcW w:w="1566" w:type="pct"/>
            <w:tcBorders>
              <w:top w:val="single" w:sz="4" w:space="0" w:color="003299"/>
            </w:tcBorders>
          </w:tcPr>
          <w:p w14:paraId="629E12CA" w14:textId="77777777" w:rsidR="00E24F39" w:rsidRPr="00F1035F" w:rsidRDefault="00E24F39" w:rsidP="00F1035F">
            <w:r w:rsidRPr="00F1035F">
              <w:t>Real GDP growth</w:t>
            </w:r>
          </w:p>
        </w:tc>
        <w:tc>
          <w:tcPr>
            <w:cnfStyle w:val="000010000000" w:firstRow="0" w:lastRow="0" w:firstColumn="0" w:lastColumn="0" w:oddVBand="1" w:evenVBand="0" w:oddHBand="0" w:evenHBand="0" w:firstRowFirstColumn="0" w:firstRowLastColumn="0" w:lastRowFirstColumn="0" w:lastRowLastColumn="0"/>
            <w:tcW w:w="575" w:type="pct"/>
            <w:tcBorders>
              <w:top w:val="single" w:sz="4" w:space="0" w:color="003299"/>
            </w:tcBorders>
            <w:noWrap/>
          </w:tcPr>
          <w:p w14:paraId="6543C8D7" w14:textId="77777777" w:rsidR="00E24F39" w:rsidRPr="00F1035F" w:rsidRDefault="00E24F39" w:rsidP="00F1035F">
            <w:pPr>
              <w:pStyle w:val="Tabletext"/>
            </w:pPr>
            <w:r w:rsidRPr="00F1035F">
              <w:t>0.0</w:t>
            </w:r>
          </w:p>
        </w:tc>
        <w:tc>
          <w:tcPr>
            <w:cnfStyle w:val="000001000000" w:firstRow="0" w:lastRow="0" w:firstColumn="0" w:lastColumn="0" w:oddVBand="0" w:evenVBand="1" w:oddHBand="0" w:evenHBand="0" w:firstRowFirstColumn="0" w:firstRowLastColumn="0" w:lastRowFirstColumn="0" w:lastRowLastColumn="0"/>
            <w:tcW w:w="576" w:type="pct"/>
            <w:tcBorders>
              <w:top w:val="single" w:sz="4" w:space="0" w:color="003299"/>
            </w:tcBorders>
          </w:tcPr>
          <w:p w14:paraId="747CCACD" w14:textId="77777777" w:rsidR="00E24F39" w:rsidRPr="00F1035F" w:rsidRDefault="00E24F39" w:rsidP="00F1035F">
            <w:pPr>
              <w:pStyle w:val="Tabletext"/>
            </w:pPr>
            <w:r w:rsidRPr="00F1035F">
              <w:t>0.1</w:t>
            </w:r>
          </w:p>
        </w:tc>
        <w:tc>
          <w:tcPr>
            <w:cnfStyle w:val="000010000000" w:firstRow="0" w:lastRow="0" w:firstColumn="0" w:lastColumn="0" w:oddVBand="1" w:evenVBand="0" w:oddHBand="0" w:evenHBand="0" w:firstRowFirstColumn="0" w:firstRowLastColumn="0" w:lastRowFirstColumn="0" w:lastRowLastColumn="0"/>
            <w:tcW w:w="576" w:type="pct"/>
            <w:tcBorders>
              <w:top w:val="single" w:sz="4" w:space="0" w:color="003299"/>
            </w:tcBorders>
            <w:noWrap/>
          </w:tcPr>
          <w:p w14:paraId="727D0D7C" w14:textId="77777777" w:rsidR="00E24F39" w:rsidRPr="00F1035F" w:rsidRDefault="00E24F39" w:rsidP="00F1035F">
            <w:pPr>
              <w:pStyle w:val="Tabletext"/>
            </w:pPr>
            <w:r w:rsidRPr="00F1035F">
              <w:t>0.1</w:t>
            </w:r>
          </w:p>
        </w:tc>
        <w:tc>
          <w:tcPr>
            <w:cnfStyle w:val="000001000000" w:firstRow="0" w:lastRow="0" w:firstColumn="0" w:lastColumn="0" w:oddVBand="0" w:evenVBand="1" w:oddHBand="0" w:evenHBand="0" w:firstRowFirstColumn="0" w:firstRowLastColumn="0" w:lastRowFirstColumn="0" w:lastRowLastColumn="0"/>
            <w:tcW w:w="568" w:type="pct"/>
            <w:tcBorders>
              <w:top w:val="single" w:sz="4" w:space="0" w:color="003299"/>
            </w:tcBorders>
            <w:noWrap/>
          </w:tcPr>
          <w:p w14:paraId="427B475B" w14:textId="77777777" w:rsidR="00E24F39" w:rsidRPr="00F1035F" w:rsidRDefault="00E24F39" w:rsidP="00F1035F">
            <w:pPr>
              <w:pStyle w:val="Tabletext"/>
            </w:pPr>
            <w:r w:rsidRPr="00F1035F">
              <w:t>-0.1</w:t>
            </w:r>
          </w:p>
        </w:tc>
        <w:tc>
          <w:tcPr>
            <w:cnfStyle w:val="000010000000" w:firstRow="0" w:lastRow="0" w:firstColumn="0" w:lastColumn="0" w:oddVBand="1" w:evenVBand="0" w:oddHBand="0" w:evenHBand="0" w:firstRowFirstColumn="0" w:firstRowLastColumn="0" w:lastRowFirstColumn="0" w:lastRowLastColumn="0"/>
            <w:tcW w:w="568" w:type="pct"/>
            <w:tcBorders>
              <w:top w:val="single" w:sz="4" w:space="0" w:color="003299"/>
            </w:tcBorders>
            <w:noWrap/>
          </w:tcPr>
          <w:p w14:paraId="0E6D4AE6" w14:textId="77777777" w:rsidR="00E24F39" w:rsidRPr="00F1035F" w:rsidRDefault="00E24F39" w:rsidP="00F1035F">
            <w:pPr>
              <w:pStyle w:val="Tabletext"/>
            </w:pPr>
            <w:r w:rsidRPr="00F1035F">
              <w:t>-0.2</w:t>
            </w:r>
          </w:p>
        </w:tc>
        <w:tc>
          <w:tcPr>
            <w:cnfStyle w:val="000001000000" w:firstRow="0" w:lastRow="0" w:firstColumn="0" w:lastColumn="0" w:oddVBand="0" w:evenVBand="1" w:oddHBand="0" w:evenHBand="0" w:firstRowFirstColumn="0" w:firstRowLastColumn="0" w:lastRowFirstColumn="0" w:lastRowLastColumn="0"/>
            <w:tcW w:w="571" w:type="pct"/>
            <w:tcBorders>
              <w:top w:val="single" w:sz="4" w:space="0" w:color="003299"/>
            </w:tcBorders>
          </w:tcPr>
          <w:p w14:paraId="11DF0F0E" w14:textId="77777777" w:rsidR="00E24F39" w:rsidRPr="00F1035F" w:rsidRDefault="00E24F39" w:rsidP="00F1035F">
            <w:pPr>
              <w:pStyle w:val="Tabletext"/>
            </w:pPr>
            <w:r w:rsidRPr="00F1035F">
              <w:t>-0.2</w:t>
            </w:r>
          </w:p>
        </w:tc>
      </w:tr>
      <w:tr w:rsidR="00E24F39" w:rsidRPr="006E6A8C" w14:paraId="3D4B026B" w14:textId="77777777" w:rsidTr="00DA09C4">
        <w:trPr>
          <w:trHeight w:val="283"/>
        </w:trPr>
        <w:tc>
          <w:tcPr>
            <w:cnfStyle w:val="001000000000" w:firstRow="0" w:lastRow="0" w:firstColumn="1" w:lastColumn="0" w:oddVBand="0" w:evenVBand="0" w:oddHBand="0" w:evenHBand="0" w:firstRowFirstColumn="0" w:firstRowLastColumn="0" w:lastRowFirstColumn="0" w:lastRowLastColumn="0"/>
            <w:tcW w:w="1566" w:type="pct"/>
          </w:tcPr>
          <w:p w14:paraId="0CF9DB35" w14:textId="77777777" w:rsidR="00E24F39" w:rsidRPr="00F1035F" w:rsidRDefault="00E24F39" w:rsidP="00F1035F">
            <w:r w:rsidRPr="00F1035F">
              <w:t>HICP inflation</w:t>
            </w:r>
          </w:p>
        </w:tc>
        <w:tc>
          <w:tcPr>
            <w:cnfStyle w:val="000010000000" w:firstRow="0" w:lastRow="0" w:firstColumn="0" w:lastColumn="0" w:oddVBand="1" w:evenVBand="0" w:oddHBand="0" w:evenHBand="0" w:firstRowFirstColumn="0" w:firstRowLastColumn="0" w:lastRowFirstColumn="0" w:lastRowLastColumn="0"/>
            <w:tcW w:w="575" w:type="pct"/>
            <w:noWrap/>
          </w:tcPr>
          <w:p w14:paraId="685B323B" w14:textId="77777777" w:rsidR="00E24F39" w:rsidRPr="00F1035F" w:rsidRDefault="00E24F39" w:rsidP="00F1035F">
            <w:pPr>
              <w:pStyle w:val="Tabletext"/>
            </w:pPr>
            <w:r w:rsidRPr="00F1035F">
              <w:t>0.0</w:t>
            </w:r>
          </w:p>
        </w:tc>
        <w:tc>
          <w:tcPr>
            <w:cnfStyle w:val="000001000000" w:firstRow="0" w:lastRow="0" w:firstColumn="0" w:lastColumn="0" w:oddVBand="0" w:evenVBand="1" w:oddHBand="0" w:evenHBand="0" w:firstRowFirstColumn="0" w:firstRowLastColumn="0" w:lastRowFirstColumn="0" w:lastRowLastColumn="0"/>
            <w:tcW w:w="576" w:type="pct"/>
          </w:tcPr>
          <w:p w14:paraId="0DA2E132" w14:textId="77777777" w:rsidR="00E24F39" w:rsidRPr="00F1035F" w:rsidRDefault="00E24F39" w:rsidP="00F1035F">
            <w:pPr>
              <w:pStyle w:val="Tabletext"/>
            </w:pPr>
            <w:r w:rsidRPr="00F1035F">
              <w:t>0.1</w:t>
            </w:r>
          </w:p>
        </w:tc>
        <w:tc>
          <w:tcPr>
            <w:cnfStyle w:val="000010000000" w:firstRow="0" w:lastRow="0" w:firstColumn="0" w:lastColumn="0" w:oddVBand="1" w:evenVBand="0" w:oddHBand="0" w:evenHBand="0" w:firstRowFirstColumn="0" w:firstRowLastColumn="0" w:lastRowFirstColumn="0" w:lastRowLastColumn="0"/>
            <w:tcW w:w="576" w:type="pct"/>
            <w:noWrap/>
          </w:tcPr>
          <w:p w14:paraId="3CA5F3E3" w14:textId="77777777" w:rsidR="00E24F39" w:rsidRPr="00F1035F" w:rsidRDefault="00E24F39" w:rsidP="00F1035F">
            <w:pPr>
              <w:pStyle w:val="Tabletext"/>
            </w:pPr>
            <w:r w:rsidRPr="00F1035F">
              <w:t>0.1</w:t>
            </w:r>
          </w:p>
        </w:tc>
        <w:tc>
          <w:tcPr>
            <w:cnfStyle w:val="000001000000" w:firstRow="0" w:lastRow="0" w:firstColumn="0" w:lastColumn="0" w:oddVBand="0" w:evenVBand="1" w:oddHBand="0" w:evenHBand="0" w:firstRowFirstColumn="0" w:firstRowLastColumn="0" w:lastRowFirstColumn="0" w:lastRowLastColumn="0"/>
            <w:tcW w:w="568" w:type="pct"/>
            <w:noWrap/>
          </w:tcPr>
          <w:p w14:paraId="458A1232" w14:textId="77777777" w:rsidR="00E24F39" w:rsidRPr="00F1035F" w:rsidRDefault="00E24F39" w:rsidP="00F1035F">
            <w:pPr>
              <w:pStyle w:val="Tabletext"/>
            </w:pPr>
            <w:r w:rsidRPr="00F1035F">
              <w:t>-0.1</w:t>
            </w:r>
          </w:p>
        </w:tc>
        <w:tc>
          <w:tcPr>
            <w:cnfStyle w:val="000010000000" w:firstRow="0" w:lastRow="0" w:firstColumn="0" w:lastColumn="0" w:oddVBand="1" w:evenVBand="0" w:oddHBand="0" w:evenHBand="0" w:firstRowFirstColumn="0" w:firstRowLastColumn="0" w:lastRowFirstColumn="0" w:lastRowLastColumn="0"/>
            <w:tcW w:w="568" w:type="pct"/>
            <w:noWrap/>
          </w:tcPr>
          <w:p w14:paraId="5CE8F3FC" w14:textId="77777777" w:rsidR="00E24F39" w:rsidRPr="00F1035F" w:rsidRDefault="00E24F39" w:rsidP="00F1035F">
            <w:pPr>
              <w:pStyle w:val="Tabletext"/>
            </w:pPr>
            <w:r w:rsidRPr="00F1035F">
              <w:t>-0.2</w:t>
            </w:r>
          </w:p>
        </w:tc>
        <w:tc>
          <w:tcPr>
            <w:cnfStyle w:val="000001000000" w:firstRow="0" w:lastRow="0" w:firstColumn="0" w:lastColumn="0" w:oddVBand="0" w:evenVBand="1" w:oddHBand="0" w:evenHBand="0" w:firstRowFirstColumn="0" w:firstRowLastColumn="0" w:lastRowFirstColumn="0" w:lastRowLastColumn="0"/>
            <w:tcW w:w="571" w:type="pct"/>
          </w:tcPr>
          <w:p w14:paraId="6FE4F2FF" w14:textId="77777777" w:rsidR="00E24F39" w:rsidRPr="00F1035F" w:rsidRDefault="00E24F39" w:rsidP="00F1035F">
            <w:pPr>
              <w:pStyle w:val="Tabletext"/>
            </w:pPr>
            <w:r w:rsidRPr="00F1035F">
              <w:t>-0.3</w:t>
            </w:r>
          </w:p>
        </w:tc>
      </w:tr>
    </w:tbl>
    <w:p w14:paraId="01A89E5D" w14:textId="77777777" w:rsidR="00E24F39" w:rsidRPr="00C04725" w:rsidRDefault="00E24F39" w:rsidP="00F1035F">
      <w:pPr>
        <w:pStyle w:val="Chartright-SourcesNotes"/>
      </w:pPr>
      <w:r w:rsidRPr="00F1035F">
        <w:t>Sources: Bloomberg and ECB staff calculations.</w:t>
      </w:r>
      <w:r w:rsidRPr="00F1035F">
        <w:br/>
      </w:r>
      <w:r w:rsidRPr="001D58A9">
        <w:t>Note</w:t>
      </w:r>
      <w:r>
        <w:t>s</w:t>
      </w:r>
      <w:r w:rsidRPr="001D58A9">
        <w:t>: An increase implies an appreciation of the euro.</w:t>
      </w:r>
      <w:r>
        <w:t xml:space="preserve"> </w:t>
      </w:r>
      <w:r w:rsidRPr="008A5F59">
        <w:t xml:space="preserve">The 25th and 75th percentiles refer to </w:t>
      </w:r>
      <w:r w:rsidRPr="0074030A">
        <w:t xml:space="preserve">the option-implied </w:t>
      </w:r>
      <w:r>
        <w:t xml:space="preserve">neutral </w:t>
      </w:r>
      <w:r w:rsidRPr="0074030A">
        <w:t xml:space="preserve">densities for the USD/EUR exchange rate </w:t>
      </w:r>
      <w:r>
        <w:t>on</w:t>
      </w:r>
      <w:r w:rsidRPr="0074030A">
        <w:t xml:space="preserve"> </w:t>
      </w:r>
      <w:r>
        <w:t>11 March</w:t>
      </w:r>
      <w:r w:rsidRPr="00CA5462">
        <w:t xml:space="preserve"> 202</w:t>
      </w:r>
      <w:r>
        <w:t>6</w:t>
      </w:r>
      <w:r w:rsidRPr="008A5F59">
        <w:t>.</w:t>
      </w:r>
      <w:r>
        <w:t xml:space="preserve"> </w:t>
      </w:r>
      <w:r w:rsidRPr="008A5F59">
        <w:t xml:space="preserve">The macroeconomic impacts are reported as averages of a number of ECB and </w:t>
      </w:r>
      <w:proofErr w:type="spellStart"/>
      <w:r w:rsidRPr="008A5F59">
        <w:t>Eurosystem</w:t>
      </w:r>
      <w:proofErr w:type="spellEnd"/>
      <w:r w:rsidRPr="008A5F59">
        <w:t xml:space="preserve"> staff macroeconomic models</w:t>
      </w:r>
      <w:r>
        <w:t>.</w:t>
      </w:r>
    </w:p>
    <w:p w14:paraId="3017F393" w14:textId="77777777" w:rsidR="00637789" w:rsidRPr="008A5F59" w:rsidRDefault="00637789" w:rsidP="00637789"/>
    <w:p w14:paraId="21E80A6C" w14:textId="77777777" w:rsidR="00637789" w:rsidRPr="008A5F59" w:rsidRDefault="00637789" w:rsidP="00637789">
      <w:pPr>
        <w:sectPr w:rsidR="00637789" w:rsidRPr="008A5F59" w:rsidSect="00637789">
          <w:headerReference w:type="even" r:id="rId57"/>
          <w:headerReference w:type="default" r:id="rId58"/>
          <w:footerReference w:type="default" r:id="rId59"/>
          <w:headerReference w:type="first" r:id="rId60"/>
          <w:pgSz w:w="11907" w:h="16840" w:code="9"/>
          <w:pgMar w:top="1985" w:right="1134" w:bottom="1418" w:left="3629" w:header="567" w:footer="266" w:gutter="0"/>
          <w:cols w:space="720"/>
          <w:docGrid w:linePitch="326"/>
        </w:sectPr>
      </w:pPr>
    </w:p>
    <w:p w14:paraId="5DE497AA" w14:textId="4B5F72D0" w:rsidR="00637789" w:rsidRPr="002B5A0D" w:rsidRDefault="00637789" w:rsidP="00637789">
      <w:pPr>
        <w:pStyle w:val="Imprinttextbottom"/>
        <w:framePr w:wrap="notBeside"/>
        <w:rPr>
          <w:rStyle w:val="IntenseEmphasis"/>
        </w:rPr>
      </w:pPr>
      <w:r w:rsidRPr="002B5A0D">
        <w:rPr>
          <w:rStyle w:val="IntenseEmphasis"/>
        </w:rPr>
        <w:lastRenderedPageBreak/>
        <w:t xml:space="preserve">© European Central Bank, </w:t>
      </w:r>
      <w:r>
        <w:rPr>
          <w:rStyle w:val="IntenseEmphasis"/>
          <w:noProof/>
        </w:rPr>
        <w:t>202</w:t>
      </w:r>
      <w:r w:rsidR="004D705B">
        <w:rPr>
          <w:rStyle w:val="IntenseEmphasis"/>
          <w:noProof/>
        </w:rPr>
        <w:t>6</w:t>
      </w:r>
    </w:p>
    <w:p w14:paraId="259B4B12" w14:textId="77777777" w:rsidR="00637789" w:rsidRPr="002B5A0D" w:rsidRDefault="00637789" w:rsidP="00637789">
      <w:pPr>
        <w:pStyle w:val="Imprinttextbottom"/>
        <w:framePr w:wrap="notBeside"/>
        <w:rPr>
          <w:rStyle w:val="Hyperlink"/>
        </w:rPr>
      </w:pPr>
      <w:r w:rsidRPr="008A5F59">
        <w:t>Postal address</w:t>
      </w:r>
      <w:r w:rsidRPr="008A5F59">
        <w:tab/>
        <w:t>60640 Frankfurt am Main, Germany</w:t>
      </w:r>
      <w:r w:rsidRPr="008A5F59">
        <w:br/>
        <w:t>Telephone</w:t>
      </w:r>
      <w:r w:rsidRPr="008A5F59">
        <w:tab/>
        <w:t>+49 69 1344 0</w:t>
      </w:r>
      <w:r w:rsidRPr="008A5F59">
        <w:br/>
        <w:t>Website</w:t>
      </w:r>
      <w:r w:rsidRPr="008A5F59">
        <w:tab/>
      </w:r>
      <w:hyperlink r:id="rId61" w:history="1">
        <w:r w:rsidRPr="002B5A0D">
          <w:rPr>
            <w:rStyle w:val="Hyperlink"/>
          </w:rPr>
          <w:t>www.ecb.europa.eu</w:t>
        </w:r>
      </w:hyperlink>
    </w:p>
    <w:p w14:paraId="519BC41C" w14:textId="77777777" w:rsidR="00637789" w:rsidRPr="008A5F59" w:rsidRDefault="00637789" w:rsidP="00637789">
      <w:pPr>
        <w:pStyle w:val="Imprinttextbottom"/>
        <w:framePr w:wrap="notBeside"/>
      </w:pPr>
      <w:r w:rsidRPr="008A5F59">
        <w:t>All rights reserved. Reproduction for educational and non-commercial purposes is permitted provided that the source is acknowledged.</w:t>
      </w:r>
    </w:p>
    <w:p w14:paraId="5FBF4674" w14:textId="77777777" w:rsidR="00637789" w:rsidRPr="008A5F59" w:rsidRDefault="00637789" w:rsidP="00637789">
      <w:pPr>
        <w:pStyle w:val="Imprinttextbottom"/>
        <w:framePr w:wrap="notBeside"/>
      </w:pPr>
      <w:r w:rsidRPr="008A5F59">
        <w:t xml:space="preserve">For specific terminology please refer to the </w:t>
      </w:r>
      <w:hyperlink r:id="rId62" w:history="1">
        <w:r w:rsidRPr="002B5A0D">
          <w:rPr>
            <w:rStyle w:val="Hyperlink"/>
          </w:rPr>
          <w:t>ECB glossary</w:t>
        </w:r>
      </w:hyperlink>
      <w:r w:rsidRPr="002B5A0D">
        <w:rPr>
          <w:rStyle w:val="Hyperlink"/>
        </w:rPr>
        <w:t xml:space="preserve"> </w:t>
      </w:r>
      <w:r w:rsidRPr="008A5F59">
        <w:t>(available in English only).</w:t>
      </w:r>
    </w:p>
    <w:p w14:paraId="47FEB9A4" w14:textId="44E55CF3" w:rsidR="00637789" w:rsidRPr="00637789" w:rsidRDefault="00637789" w:rsidP="00637789">
      <w:pPr>
        <w:pStyle w:val="Imprinttextbottom"/>
        <w:framePr w:wrap="notBeside"/>
      </w:pPr>
      <w:r w:rsidRPr="00637789">
        <w:t>PDF</w:t>
      </w:r>
      <w:r w:rsidRPr="00637789">
        <w:tab/>
        <w:t xml:space="preserve">ISBN </w:t>
      </w:r>
      <w:r w:rsidR="004D705B" w:rsidRPr="004D705B">
        <w:t>978-92-899-7781-4</w:t>
      </w:r>
      <w:r w:rsidRPr="00637789">
        <w:t>, ISSN 2529-4466, doi:</w:t>
      </w:r>
      <w:r w:rsidR="004D705B" w:rsidRPr="004D705B">
        <w:t>10.2866/8488267</w:t>
      </w:r>
      <w:r w:rsidRPr="00637789">
        <w:t xml:space="preserve">, </w:t>
      </w:r>
      <w:r w:rsidR="004D705B" w:rsidRPr="004D705B">
        <w:t>QB-01-26-090-EN-N</w:t>
      </w:r>
      <w:r w:rsidRPr="00637789">
        <w:br/>
        <w:t>HTML</w:t>
      </w:r>
      <w:r w:rsidRPr="00637789">
        <w:tab/>
        <w:t xml:space="preserve">ISBN </w:t>
      </w:r>
      <w:r w:rsidR="004D705B" w:rsidRPr="004D705B">
        <w:t>978-92-899-7780-7</w:t>
      </w:r>
      <w:r w:rsidRPr="00637789">
        <w:t>, ISSN 2529-4466, doi:</w:t>
      </w:r>
      <w:r w:rsidR="004D705B" w:rsidRPr="004D705B">
        <w:t>10.2866/0204813</w:t>
      </w:r>
      <w:r w:rsidRPr="00637789">
        <w:t xml:space="preserve">, </w:t>
      </w:r>
      <w:r w:rsidR="004D705B" w:rsidRPr="004D705B">
        <w:t>QB-01-26-090-EN-Q</w:t>
      </w:r>
    </w:p>
    <w:p w14:paraId="122498D4" w14:textId="77777777" w:rsidR="00637789" w:rsidRPr="00CA77C4" w:rsidRDefault="00637789" w:rsidP="00637789"/>
    <w:p w14:paraId="0BD17367" w14:textId="77777777" w:rsidR="00E24F39" w:rsidRPr="0056305A" w:rsidRDefault="00E24F39" w:rsidP="00556BCF"/>
    <w:sectPr w:rsidR="00E24F39" w:rsidRPr="0056305A" w:rsidSect="00B00C88">
      <w:headerReference w:type="even" r:id="rId63"/>
      <w:headerReference w:type="default" r:id="rId64"/>
      <w:footerReference w:type="default" r:id="rId65"/>
      <w:headerReference w:type="first" r:id="rId66"/>
      <w:pgSz w:w="11907" w:h="16840" w:code="9"/>
      <w:pgMar w:top="1985" w:right="1134" w:bottom="1418" w:left="3629" w:header="567" w:footer="26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C9CE2" w14:textId="77777777" w:rsidR="00A43A9E" w:rsidRDefault="00A43A9E" w:rsidP="00E140E6">
      <w:r>
        <w:separator/>
      </w:r>
    </w:p>
  </w:endnote>
  <w:endnote w:type="continuationSeparator" w:id="0">
    <w:p w14:paraId="010DD7F3" w14:textId="77777777" w:rsidR="00A43A9E" w:rsidRDefault="00A43A9E" w:rsidP="00E140E6">
      <w:r>
        <w:continuationSeparator/>
      </w:r>
    </w:p>
  </w:endnote>
  <w:endnote w:type="continuationNotice" w:id="1">
    <w:p w14:paraId="39AEC3E2" w14:textId="77777777" w:rsidR="00A43A9E" w:rsidRDefault="00A43A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ndnya">
    <w:panose1 w:val="00000400000000000000"/>
    <w:charset w:val="01"/>
    <w:family w:val="roman"/>
    <w:notTrueType/>
    <w:pitch w:val="variable"/>
  </w:font>
  <w:font w:name="Arial Bold">
    <w:altName w:val="Arial"/>
    <w:panose1 w:val="020B0704020202020204"/>
    <w:charset w:val="00"/>
    <w:family w:val="auto"/>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page image"/>
      <w:tag w:val="Titlepage image"/>
      <w:id w:val="1650866809"/>
      <w:placeholder>
        <w:docPart w:val="855C304B510447A6A965F9617259582E"/>
      </w:placeholder>
      <w:docPartList>
        <w:docPartGallery w:val="Quick Parts"/>
        <w:docPartCategory w:val="Titlepage Image"/>
      </w:docPartList>
    </w:sdtPr>
    <w:sdtContent>
      <w:p w14:paraId="43B05852" w14:textId="07501416" w:rsidR="002F1C3C" w:rsidRDefault="002F1C3C">
        <w:pPr>
          <w:pStyle w:val="Footer"/>
        </w:pPr>
        <w:r w:rsidRPr="00D2437F">
          <w:rPr>
            <w:noProof/>
          </w:rPr>
          <w:drawing>
            <wp:anchor distT="0" distB="0" distL="114300" distR="114300" simplePos="0" relativeHeight="251652608" behindDoc="1" locked="0" layoutInCell="1" allowOverlap="1" wp14:anchorId="51484D70" wp14:editId="11FF92BB">
              <wp:simplePos x="0" y="0"/>
              <wp:positionH relativeFrom="page">
                <wp:align>left</wp:align>
              </wp:positionH>
              <wp:positionV relativeFrom="page">
                <wp:posOffset>6372860</wp:posOffset>
              </wp:positionV>
              <wp:extent cx="7596000" cy="3808800"/>
              <wp:effectExtent l="0" t="0" r="5080" b="1270"/>
              <wp:wrapNone/>
              <wp:docPr id="1482876720" name="Picture 148287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page imag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38088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554897"/>
      <w:docPartList>
        <w:docPartGallery w:val="Quick Parts"/>
        <w:docPartCategory w:val="Footer"/>
      </w:docPartList>
    </w:sdtPr>
    <w:sdtContent>
      <w:p w14:paraId="33387F76" w14:textId="0BC57355" w:rsidR="002F1C3C" w:rsidRDefault="004D705B" w:rsidP="007271BF">
        <w:pPr>
          <w:pStyle w:val="Footer"/>
        </w:pPr>
        <w:fldSimple w:instr=" TITLE   \* MERGEFORMAT ">
          <w:r>
            <w:t>ECB staff macroeconomic projections for the euro area, March 2026</w:t>
          </w:r>
        </w:fldSimple>
        <w:r w:rsidR="002F1C3C">
          <w:t xml:space="preserve"> – Contents</w:t>
        </w:r>
      </w:p>
      <w:p w14:paraId="197E900F" w14:textId="77777777" w:rsidR="002F1C3C" w:rsidRPr="007271BF" w:rsidRDefault="002F1C3C" w:rsidP="007271BF">
        <w:pPr>
          <w:pStyle w:val="PageNumbers"/>
          <w:framePr w:wrap="around"/>
        </w:pPr>
        <w:r>
          <w:fldChar w:fldCharType="begin"/>
        </w:r>
        <w:r>
          <w:instrText xml:space="preserve"> PAGE   \* MERGEFORMAT </w:instrText>
        </w:r>
        <w:r>
          <w:fldChar w:fldCharType="separate"/>
        </w:r>
        <w:r>
          <w:rPr>
            <w:noProof/>
          </w:rPr>
          <w:t>1</w:t>
        </w:r>
        <w:r>
          <w:rPr>
            <w:noProof/>
          </w:rPr>
          <w:fldChar w:fldCharType="end"/>
        </w:r>
      </w:p>
      <w:p w14:paraId="27696026" w14:textId="612EE74E" w:rsidR="002F1C3C" w:rsidRPr="007271BF" w:rsidRDefault="00000000" w:rsidP="007271BF">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A57F5" w14:textId="6B2DF931" w:rsidR="00637789" w:rsidRDefault="004D705B" w:rsidP="007271BF">
    <w:pPr>
      <w:pStyle w:val="Footer"/>
    </w:pPr>
    <w:fldSimple w:instr=" TITLE   \* MERGEFORMAT ">
      <w:r>
        <w:t>ECB staff macroeconomic projections for the euro area, March 2026</w:t>
      </w:r>
    </w:fldSimple>
    <w:r w:rsidR="00637789">
      <w:t xml:space="preserve"> – </w:t>
    </w:r>
    <w:fldSimple w:instr=" STYLEREF  &quot;Heading 1&quot;  \* MERGEFORMAT ">
      <w:r w:rsidR="003605C9">
        <w:rPr>
          <w:noProof/>
        </w:rPr>
        <w:t>Sensitivity analyses</w:t>
      </w:r>
    </w:fldSimple>
  </w:p>
  <w:p w14:paraId="69FD4936" w14:textId="77777777" w:rsidR="00637789" w:rsidRPr="007271BF" w:rsidRDefault="00637789" w:rsidP="007271BF">
    <w:pPr>
      <w:pStyle w:val="PageNumbers"/>
      <w:framePr w:wrap="around"/>
    </w:pPr>
    <w:r>
      <w:fldChar w:fldCharType="begin"/>
    </w:r>
    <w:r>
      <w:instrText xml:space="preserve"> PAGE   \* MERGEFORMAT </w:instrText>
    </w:r>
    <w:r>
      <w:fldChar w:fldCharType="separate"/>
    </w:r>
    <w:r>
      <w:rPr>
        <w:noProof/>
      </w:rPr>
      <w:t>4</w:t>
    </w:r>
    <w:r>
      <w:rPr>
        <w:noProof/>
      </w:rPr>
      <w:fldChar w:fldCharType="end"/>
    </w:r>
  </w:p>
  <w:p w14:paraId="34EE9C72" w14:textId="77777777" w:rsidR="00637789" w:rsidRDefault="006377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499A4" w14:textId="5EBB717D" w:rsidR="008D6D0A" w:rsidRDefault="004D705B" w:rsidP="008D6D0A">
    <w:pPr>
      <w:pStyle w:val="Footer"/>
    </w:pPr>
    <w:fldSimple w:instr=" TITLE   \* MERGEFORMAT ">
      <w:r>
        <w:t>Macroeconomic Projections Exercise, March 2026</w:t>
      </w:r>
    </w:fldSimple>
    <w:r w:rsidR="008D6D0A">
      <w:t xml:space="preserve"> – </w:t>
    </w:r>
    <w:r w:rsidR="008D6D0A" w:rsidRPr="008D6D0A">
      <w:fldChar w:fldCharType="begin"/>
    </w:r>
    <w:r w:rsidR="008D6D0A">
      <w:instrText xml:space="preserve"> STYLEREF  "Heading 1"  \* MERGEFORMAT </w:instrText>
    </w:r>
    <w:r w:rsidR="008D6D0A" w:rsidRPr="008D6D0A">
      <w:fldChar w:fldCharType="separate"/>
    </w:r>
    <w:r w:rsidR="003605C9">
      <w:rPr>
        <w:noProof/>
      </w:rPr>
      <w:t>Sensitivity analyses</w:t>
    </w:r>
    <w:r w:rsidR="008D6D0A" w:rsidRPr="008D6D0A">
      <w:fldChar w:fldCharType="end"/>
    </w:r>
  </w:p>
  <w:p w14:paraId="22A6D324" w14:textId="77777777" w:rsidR="008D6D0A" w:rsidRPr="007271BF" w:rsidRDefault="008D6D0A" w:rsidP="008D6D0A">
    <w:pPr>
      <w:pStyle w:val="PageNumbers"/>
      <w:framePr w:wrap="around"/>
    </w:pPr>
    <w:r w:rsidRPr="008D6D0A">
      <w:fldChar w:fldCharType="begin"/>
    </w:r>
    <w:r>
      <w:instrText xml:space="preserve"> PAGE   \* MERGEFORMAT </w:instrText>
    </w:r>
    <w:r w:rsidRPr="008D6D0A">
      <w:fldChar w:fldCharType="separate"/>
    </w:r>
    <w:r>
      <w:t>2</w:t>
    </w:r>
    <w:r w:rsidRPr="008D6D0A">
      <w:fldChar w:fldCharType="end"/>
    </w:r>
  </w:p>
  <w:p w14:paraId="2849B9A9" w14:textId="174ECDE9" w:rsidR="00F02347" w:rsidRDefault="00F02347" w:rsidP="008D6D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B63D0" w14:textId="77777777" w:rsidR="00A43A9E" w:rsidRDefault="00A43A9E" w:rsidP="009036D8">
      <w:pPr>
        <w:pStyle w:val="FootnoteText"/>
      </w:pPr>
      <w:r>
        <w:separator/>
      </w:r>
    </w:p>
  </w:footnote>
  <w:footnote w:type="continuationSeparator" w:id="0">
    <w:p w14:paraId="04445C44" w14:textId="77777777" w:rsidR="00A43A9E" w:rsidRDefault="00A43A9E" w:rsidP="00E140E6">
      <w:r>
        <w:continuationSeparator/>
      </w:r>
    </w:p>
  </w:footnote>
  <w:footnote w:type="continuationNotice" w:id="1">
    <w:p w14:paraId="4CF77057" w14:textId="77777777" w:rsidR="00A43A9E" w:rsidRDefault="00A43A9E">
      <w:pPr>
        <w:spacing w:before="0" w:after="0" w:line="240" w:lineRule="auto"/>
      </w:pPr>
    </w:p>
  </w:footnote>
  <w:footnote w:id="2">
    <w:p w14:paraId="4CE52584" w14:textId="60849EDD" w:rsidR="00FB4460" w:rsidRPr="004D5C80" w:rsidRDefault="00FB4460" w:rsidP="00FB4460">
      <w:pPr>
        <w:pStyle w:val="FootnoteText"/>
      </w:pPr>
      <w:r>
        <w:rPr>
          <w:rStyle w:val="FootnoteReference"/>
        </w:rPr>
        <w:footnoteRef/>
      </w:r>
      <w:r>
        <w:t xml:space="preserve"> </w:t>
      </w:r>
      <w:r>
        <w:tab/>
      </w:r>
      <w:r w:rsidR="000D6848" w:rsidRPr="004D5C80">
        <w:t xml:space="preserve">The cut-off date for the technical assumptions </w:t>
      </w:r>
      <w:r w:rsidR="000D6848">
        <w:t xml:space="preserve">of 11 March 2026 was </w:t>
      </w:r>
      <w:r w:rsidR="004E59FC">
        <w:t>two</w:t>
      </w:r>
      <w:r w:rsidR="000D6848">
        <w:t xml:space="preserve"> day</w:t>
      </w:r>
      <w:r w:rsidR="004E59FC">
        <w:t>s</w:t>
      </w:r>
      <w:r w:rsidR="000D6848">
        <w:t xml:space="preserve"> before the finalisation of the projections</w:t>
      </w:r>
      <w:r w:rsidR="000D6848" w:rsidRPr="003C028A">
        <w:t xml:space="preserve">, which is unusually close to the </w:t>
      </w:r>
      <w:r w:rsidR="000D6848">
        <w:t>Governing Council</w:t>
      </w:r>
      <w:r w:rsidR="00C54A10">
        <w:t>’s</w:t>
      </w:r>
      <w:r w:rsidR="000D6848">
        <w:t xml:space="preserve"> </w:t>
      </w:r>
      <w:r w:rsidR="00DB4E79">
        <w:t xml:space="preserve">monetary policy </w:t>
      </w:r>
      <w:r w:rsidR="000D6848">
        <w:t>meeting</w:t>
      </w:r>
      <w:r w:rsidR="00BE58E8">
        <w:t>,</w:t>
      </w:r>
      <w:r w:rsidR="000D6848">
        <w:t xml:space="preserve"> </w:t>
      </w:r>
      <w:r w:rsidR="000D6848" w:rsidRPr="003C028A">
        <w:t>given the extraordinary geopolitical developments</w:t>
      </w:r>
      <w:r w:rsidR="000D6848">
        <w:t xml:space="preserve"> and the need to include information on the </w:t>
      </w:r>
      <w:r w:rsidR="00BE58E8">
        <w:t>rapidly</w:t>
      </w:r>
      <w:r w:rsidR="000D6848">
        <w:t xml:space="preserve"> evolving situation. These assumptions are based on the average of market data over the three days up to the cut-off date. This is a narrower window than the </w:t>
      </w:r>
      <w:r w:rsidR="00DE2376">
        <w:t>ten</w:t>
      </w:r>
      <w:r w:rsidR="000D6848">
        <w:t xml:space="preserve"> days usually used for the staff projections </w:t>
      </w:r>
      <w:r w:rsidR="00BE58E8">
        <w:t>and means</w:t>
      </w:r>
      <w:r w:rsidR="000D6848">
        <w:t xml:space="preserve"> that only data after the outbreak of the war </w:t>
      </w:r>
      <w:r w:rsidR="00296B1E">
        <w:t xml:space="preserve">in the Middle East </w:t>
      </w:r>
      <w:r w:rsidR="00BE58E8">
        <w:t>were</w:t>
      </w:r>
      <w:r w:rsidR="000D6848">
        <w:t xml:space="preserve"> considered. The projections for the </w:t>
      </w:r>
      <w:r w:rsidR="00BE23F9">
        <w:t xml:space="preserve">international </w:t>
      </w:r>
      <w:r w:rsidR="001C4DAC">
        <w:t xml:space="preserve">environment </w:t>
      </w:r>
      <w:r w:rsidR="00BE23F9">
        <w:t xml:space="preserve">were finalised on 11 March </w:t>
      </w:r>
      <w:r w:rsidR="000D6848">
        <w:t xml:space="preserve">and </w:t>
      </w:r>
      <w:r w:rsidR="00BE23F9">
        <w:t xml:space="preserve">those for the </w:t>
      </w:r>
      <w:r w:rsidR="000D6848">
        <w:t xml:space="preserve">euro area were finalised on </w:t>
      </w:r>
      <w:r w:rsidR="00BE23F9">
        <w:t xml:space="preserve">13 </w:t>
      </w:r>
      <w:r w:rsidR="000D6848">
        <w:t xml:space="preserve">March </w:t>
      </w:r>
      <w:r w:rsidR="000D6848" w:rsidRPr="004D5C80">
        <w:t>202</w:t>
      </w:r>
      <w:r w:rsidR="000D6848">
        <w:t>6</w:t>
      </w:r>
      <w:r w:rsidR="000D6848" w:rsidRPr="004D5C80">
        <w:t>.</w:t>
      </w:r>
      <w:r w:rsidR="000D6848">
        <w:t xml:space="preserve"> </w:t>
      </w:r>
      <w:r w:rsidR="006E16DC" w:rsidRPr="006E16DC">
        <w:t>Owing to the limited time available to finalise the projections, it was not possible to produce some of the detailed variables usually reported in the projections</w:t>
      </w:r>
      <w:r w:rsidR="006E16DC">
        <w:t>.</w:t>
      </w:r>
    </w:p>
  </w:footnote>
  <w:footnote w:id="3">
    <w:p w14:paraId="1151CAB0" w14:textId="642FBC00" w:rsidR="00BC6F6E" w:rsidRPr="00220831" w:rsidRDefault="00BC6F6E" w:rsidP="00BC6F6E">
      <w:pPr>
        <w:pStyle w:val="FootnoteText"/>
      </w:pPr>
      <w:r>
        <w:rPr>
          <w:rStyle w:val="FootnoteReference"/>
        </w:rPr>
        <w:footnoteRef/>
      </w:r>
      <w:r>
        <w:t xml:space="preserve"> </w:t>
      </w:r>
      <w:r>
        <w:tab/>
        <w:t xml:space="preserve">The ECB staff projections are produced in an iterative way. They are updated and refined as new information becomes available. The baseline refers to the final March 2026 projections which use technical assumptions with a cut-off date 11 March. Projections with a cut-off date 4 March refer to the previous iteration of the ECB staff projections produced in the early stages of the </w:t>
      </w:r>
      <w:r w:rsidR="001C4DAC">
        <w:t>war</w:t>
      </w:r>
      <w:r>
        <w:t xml:space="preserve">. They are included in Table 1 to give an indication of a more benign outlook in which oil and gas prices would </w:t>
      </w:r>
      <w:r w:rsidR="001C4DAC">
        <w:t xml:space="preserve">decline </w:t>
      </w:r>
      <w:r>
        <w:t xml:space="preserve">more quickly than in the final baseline. </w:t>
      </w:r>
    </w:p>
  </w:footnote>
  <w:footnote w:id="4">
    <w:p w14:paraId="37DD7A37" w14:textId="77777777" w:rsidR="00E24F39" w:rsidRPr="00C565B1" w:rsidRDefault="00E24F39" w:rsidP="00E14986">
      <w:pPr>
        <w:pStyle w:val="FootnoteText"/>
        <w:rPr>
          <w:lang w:val="en-US"/>
        </w:rPr>
      </w:pPr>
      <w:r>
        <w:rPr>
          <w:rStyle w:val="FootnoteReference"/>
        </w:rPr>
        <w:footnoteRef/>
      </w:r>
      <w:r>
        <w:t xml:space="preserve"> </w:t>
      </w:r>
      <w:r>
        <w:tab/>
      </w:r>
      <w:r w:rsidRPr="00E11BB6">
        <w:t xml:space="preserve">“Modified domestic demand” includes private and government consumption and a modified measure of investment that excludes purchases of aircraft for leasing and certain intellectual property purchases. Irish imports, exports and changes in inventories are excluded from this measure. </w:t>
      </w:r>
      <w:r>
        <w:t>For more information s</w:t>
      </w:r>
      <w:r w:rsidRPr="00E11BB6">
        <w:t>ee</w:t>
      </w:r>
      <w:r>
        <w:t xml:space="preserve"> the website of </w:t>
      </w:r>
      <w:hyperlink r:id="rId1" w:history="1">
        <w:r>
          <w:rPr>
            <w:rStyle w:val="Hyperlink"/>
          </w:rPr>
          <w:t>Ireland’s Central Statistics Office</w:t>
        </w:r>
      </w:hyperlink>
      <w:r>
        <w:t xml:space="preserve">. </w:t>
      </w:r>
    </w:p>
  </w:footnote>
  <w:footnote w:id="5">
    <w:p w14:paraId="46A656CA" w14:textId="77777777" w:rsidR="00E24F39" w:rsidRPr="008E7A60" w:rsidRDefault="00E24F39" w:rsidP="00DB4B39">
      <w:pPr>
        <w:pStyle w:val="FootnoteText"/>
        <w:rPr>
          <w:lang w:val="en-US"/>
        </w:rPr>
      </w:pPr>
      <w:r>
        <w:rPr>
          <w:rStyle w:val="FootnoteReference"/>
        </w:rPr>
        <w:footnoteRef/>
      </w:r>
      <w:r>
        <w:t xml:space="preserve"> </w:t>
      </w:r>
      <w:r>
        <w:tab/>
        <w:t>The impact on inflation included in the baseline is estimated to be below 0.1 percentage points cumulatively over 2025-28.</w:t>
      </w:r>
    </w:p>
  </w:footnote>
  <w:footnote w:id="6">
    <w:p w14:paraId="3C937E4B" w14:textId="77777777" w:rsidR="00E24F39" w:rsidRDefault="00E24F39" w:rsidP="00117EAB">
      <w:pPr>
        <w:pStyle w:val="FootnoteText"/>
      </w:pPr>
      <w:r>
        <w:rPr>
          <w:rStyle w:val="FootnoteReference"/>
        </w:rPr>
        <w:footnoteRef/>
      </w:r>
      <w:r>
        <w:t xml:space="preserve"> </w:t>
      </w:r>
      <w:r>
        <w:tab/>
      </w:r>
      <w:r w:rsidRPr="005E6B13">
        <w:t>Unless explicitly mentioned, references to world and/or global aggregates of economic indicators throughout this</w:t>
      </w:r>
      <w:r>
        <w:t xml:space="preserve"> box</w:t>
      </w:r>
      <w:r w:rsidRPr="005E6B13">
        <w:t xml:space="preserve"> exclude the euro area.</w:t>
      </w:r>
    </w:p>
  </w:footnote>
  <w:footnote w:id="7">
    <w:p w14:paraId="0160DFB6" w14:textId="5ACF7C78" w:rsidR="00E24F39" w:rsidRPr="0054359C" w:rsidRDefault="00E24F39" w:rsidP="00117EAB">
      <w:pPr>
        <w:pStyle w:val="FootnoteText"/>
      </w:pPr>
      <w:r>
        <w:rPr>
          <w:rStyle w:val="FootnoteReference"/>
        </w:rPr>
        <w:footnoteRef/>
      </w:r>
      <w:r>
        <w:t xml:space="preserve"> </w:t>
      </w:r>
      <w:r>
        <w:tab/>
        <w:t>World</w:t>
      </w:r>
      <w:r w:rsidRPr="0054359C">
        <w:t xml:space="preserve"> headline CPI inflation is computed as the weighted average of inflation rates across 2</w:t>
      </w:r>
      <w:r>
        <w:t>3</w:t>
      </w:r>
      <w:r w:rsidRPr="0054359C">
        <w:t xml:space="preserve"> countries</w:t>
      </w:r>
      <w:r>
        <w:t xml:space="preserve">, </w:t>
      </w:r>
      <w:r w:rsidR="00806248">
        <w:t>comprising</w:t>
      </w:r>
      <w:r w:rsidRPr="0054359C">
        <w:t xml:space="preserve"> 1</w:t>
      </w:r>
      <w:r>
        <w:t>4</w:t>
      </w:r>
      <w:r w:rsidRPr="0054359C">
        <w:t xml:space="preserve"> advanced economies (</w:t>
      </w:r>
      <w:r>
        <w:t xml:space="preserve">namely the </w:t>
      </w:r>
      <w:r w:rsidRPr="0054359C">
        <w:t xml:space="preserve">United States, </w:t>
      </w:r>
      <w:r>
        <w:t>the</w:t>
      </w:r>
      <w:r w:rsidRPr="0054359C">
        <w:t xml:space="preserve"> United Kingdom, Japan, Switzerland, Canada, Australia, New Zealand, Sweden, Denmark, Norway, </w:t>
      </w:r>
      <w:r>
        <w:t xml:space="preserve">the </w:t>
      </w:r>
      <w:r w:rsidRPr="0054359C">
        <w:t>Czech Republic, Hungary, Poland</w:t>
      </w:r>
      <w:r>
        <w:t xml:space="preserve"> and</w:t>
      </w:r>
      <w:r w:rsidRPr="0054359C">
        <w:t xml:space="preserve"> Romania) and </w:t>
      </w:r>
      <w:r>
        <w:t>nine</w:t>
      </w:r>
      <w:r w:rsidRPr="0054359C">
        <w:t xml:space="preserve"> emerging market economies (China, Russia, Brazil, India, Türkiye, Korea, Mexico, Singapore</w:t>
      </w:r>
      <w:r>
        <w:t xml:space="preserve"> and</w:t>
      </w:r>
      <w:r w:rsidRPr="0054359C">
        <w:t xml:space="preserve"> Hong Kong).</w:t>
      </w:r>
    </w:p>
  </w:footnote>
  <w:footnote w:id="8">
    <w:p w14:paraId="7C730222" w14:textId="77777777" w:rsidR="00E24F39" w:rsidRPr="00C3347D" w:rsidRDefault="00E24F39" w:rsidP="00100602">
      <w:pPr>
        <w:pStyle w:val="FootnoteText"/>
        <w:rPr>
          <w:lang w:val="en-US"/>
        </w:rPr>
      </w:pPr>
      <w:r>
        <w:rPr>
          <w:rStyle w:val="FootnoteReference"/>
        </w:rPr>
        <w:footnoteRef/>
      </w:r>
      <w:r>
        <w:tab/>
      </w:r>
      <w:r w:rsidRPr="00EF1B35">
        <w:t>Although minor categories, several euro area products (e.g. electronic circuits, recorded and print media, some chemicals, etc.) that were supposed to be exempt now face tariffs under the new regime.</w:t>
      </w:r>
    </w:p>
  </w:footnote>
  <w:footnote w:id="9">
    <w:p w14:paraId="6325DB52" w14:textId="77777777" w:rsidR="00E24F39" w:rsidRPr="00193207" w:rsidRDefault="00E24F39">
      <w:pPr>
        <w:pStyle w:val="FootnoteText"/>
        <w:rPr>
          <w:lang w:val="en-US"/>
        </w:rPr>
      </w:pPr>
      <w:r>
        <w:rPr>
          <w:rStyle w:val="FootnoteReference"/>
        </w:rPr>
        <w:footnoteRef/>
      </w:r>
      <w:r>
        <w:t xml:space="preserve"> </w:t>
      </w:r>
      <w:r>
        <w:tab/>
      </w:r>
      <w:r w:rsidRPr="00F0410E">
        <w:t>The recent EU-India trade agreement, involving a gradual phasing-in of lower tariffs, and the still pending EU-Mercosur agreement are considered to have only limited effects on euro area activity over the projection horizon.</w:t>
      </w:r>
    </w:p>
  </w:footnote>
  <w:footnote w:id="10">
    <w:p w14:paraId="765C4FCF" w14:textId="77777777" w:rsidR="00E24F39" w:rsidRPr="003871B7" w:rsidRDefault="00E24F39" w:rsidP="000E0AFE">
      <w:pPr>
        <w:pStyle w:val="FootnoteText"/>
      </w:pPr>
      <w:r>
        <w:rPr>
          <w:rStyle w:val="FootnoteReference"/>
        </w:rPr>
        <w:footnoteRef/>
      </w:r>
      <w:r>
        <w:t xml:space="preserve"> </w:t>
      </w:r>
      <w:r>
        <w:tab/>
        <w:t xml:space="preserve">In particular, </w:t>
      </w:r>
      <w:r w:rsidRPr="007E4E62">
        <w:t xml:space="preserve">refining margins </w:t>
      </w:r>
      <w:r>
        <w:t xml:space="preserve">for diesel </w:t>
      </w:r>
      <w:r w:rsidRPr="007E4E62">
        <w:t xml:space="preserve">have increased significantly </w:t>
      </w:r>
      <w:r>
        <w:t xml:space="preserve">since 27 February owing to the war in the Middle East and are assumed to decline over the short term. The pace and extent of this normalisation entail significant additional uncertainties for the short-term outlook for energy inflation. </w:t>
      </w:r>
    </w:p>
  </w:footnote>
  <w:footnote w:id="11">
    <w:p w14:paraId="4E6E9C87" w14:textId="77777777" w:rsidR="00E24F39" w:rsidRPr="0002718A" w:rsidRDefault="00E24F39">
      <w:pPr>
        <w:pStyle w:val="FootnoteText"/>
      </w:pPr>
      <w:r>
        <w:rPr>
          <w:rStyle w:val="FootnoteReference"/>
        </w:rPr>
        <w:footnoteRef/>
      </w:r>
      <w:r>
        <w:t xml:space="preserve"> </w:t>
      </w:r>
      <w:r>
        <w:tab/>
        <w:t xml:space="preserve">See </w:t>
      </w:r>
      <w:r w:rsidRPr="000E1467">
        <w:t>the box entitled “</w:t>
      </w:r>
      <w:hyperlink r:id="rId2" w:anchor="toc6" w:history="1">
        <w:hyperlink r:id="rId3" w:anchor="toc6" w:history="1">
          <w:r w:rsidRPr="005A6714">
            <w:rPr>
              <w:rStyle w:val="Hyperlink"/>
            </w:rPr>
            <w:t>The macroeconomic impact of climate change policies in the euro area</w:t>
          </w:r>
        </w:hyperlink>
      </w:hyperlink>
      <w:r w:rsidRPr="000E1467">
        <w:t xml:space="preserve">” in the </w:t>
      </w:r>
      <w:r>
        <w:t>December 2025 Eurosystem s</w:t>
      </w:r>
      <w:r w:rsidRPr="000E1467">
        <w:t>taff macroeconomic projections for the euro area</w:t>
      </w:r>
      <w:r>
        <w:t>.</w:t>
      </w:r>
    </w:p>
  </w:footnote>
  <w:footnote w:id="12">
    <w:p w14:paraId="7D44DBCE" w14:textId="69DDF458" w:rsidR="00E24F39" w:rsidRPr="00EF1B35" w:rsidRDefault="00E24F39" w:rsidP="00556BCF">
      <w:pPr>
        <w:pStyle w:val="FootnoteText"/>
      </w:pPr>
      <w:r>
        <w:rPr>
          <w:rStyle w:val="FootnoteReference"/>
        </w:rPr>
        <w:footnoteRef/>
      </w:r>
      <w:r>
        <w:t xml:space="preserve"> </w:t>
      </w:r>
      <w:r>
        <w:tab/>
      </w:r>
      <w:r w:rsidRPr="00E37BF6">
        <w:t xml:space="preserve">The fiscal projections </w:t>
      </w:r>
      <w:r w:rsidR="00806248">
        <w:t>are</w:t>
      </w:r>
      <w:r w:rsidRPr="00E37BF6">
        <w:t xml:space="preserve"> based on the </w:t>
      </w:r>
      <w:r w:rsidR="00806248">
        <w:t>set of</w:t>
      </w:r>
      <w:r w:rsidRPr="00E37BF6">
        <w:t xml:space="preserve"> projections finalised with a cut-off </w:t>
      </w:r>
      <w:r>
        <w:t xml:space="preserve">date of </w:t>
      </w:r>
      <w:r w:rsidRPr="00E37BF6">
        <w:t>4 March 2026.</w:t>
      </w:r>
    </w:p>
  </w:footnote>
  <w:footnote w:id="13">
    <w:p w14:paraId="55B1602D" w14:textId="02F3BF45" w:rsidR="00E24F39" w:rsidRPr="00F03645" w:rsidRDefault="00E24F39" w:rsidP="00B3695A">
      <w:pPr>
        <w:pStyle w:val="FootnoteText"/>
        <w:rPr>
          <w:szCs w:val="15"/>
        </w:rPr>
      </w:pPr>
      <w:r w:rsidRPr="00F03645">
        <w:rPr>
          <w:rStyle w:val="FootnoteReference"/>
          <w:szCs w:val="15"/>
        </w:rPr>
        <w:footnoteRef/>
      </w:r>
      <w:r w:rsidRPr="00F03645">
        <w:rPr>
          <w:szCs w:val="15"/>
        </w:rPr>
        <w:t xml:space="preserve"> </w:t>
      </w:r>
      <w:r w:rsidRPr="00F03645">
        <w:rPr>
          <w:szCs w:val="15"/>
        </w:rPr>
        <w:tab/>
      </w:r>
      <w:r w:rsidRPr="007C1118">
        <w:t>The fiscal stance of the euro area is defined as the change in the cyclically adjusted primary balance, further adjusted for NGEU grants on the revenue side. While the fiscal stance is a top-down measure of the orientation of fiscal policy, discretionary fiscal measures are gauged using a bottom-up approach. These measures capture changes in tax rates, fiscal entitlements and other government spending that have been passed or are likely to be passed by the national parliaments of euro area countries.</w:t>
      </w:r>
    </w:p>
  </w:footnote>
  <w:footnote w:id="14">
    <w:p w14:paraId="6D1C1F25" w14:textId="77777777" w:rsidR="00154887" w:rsidRPr="00B50030" w:rsidRDefault="00154887" w:rsidP="00E274E4">
      <w:pPr>
        <w:pStyle w:val="FootnoteText"/>
        <w:rPr>
          <w:lang w:val="en-US"/>
        </w:rPr>
      </w:pPr>
      <w:r>
        <w:rPr>
          <w:rStyle w:val="FootnoteReference"/>
        </w:rPr>
        <w:footnoteRef/>
      </w:r>
      <w:r>
        <w:t xml:space="preserve"> </w:t>
      </w:r>
      <w:r>
        <w:tab/>
      </w:r>
      <w:r w:rsidRPr="00B50030">
        <w:t>Prepared by E. Angelini, A. Bobasu, G. Bu</w:t>
      </w:r>
      <w:r>
        <w:t>š</w:t>
      </w:r>
      <w:r w:rsidRPr="00B50030">
        <w:t>s, A. Dieppe, P. Di Casola, A. Kornprobst, G. Nicoletti, A. Stalla-Bourdillon, T. Kockerols and S. Zimic, with input from N. Rebmann and L. Demuth.</w:t>
      </w:r>
    </w:p>
  </w:footnote>
  <w:footnote w:id="15">
    <w:p w14:paraId="6AE3B876" w14:textId="3ACB6EE4" w:rsidR="00154887" w:rsidRDefault="00154887">
      <w:pPr>
        <w:pStyle w:val="FootnoteText"/>
      </w:pPr>
      <w:r>
        <w:rPr>
          <w:rStyle w:val="FootnoteReference"/>
        </w:rPr>
        <w:footnoteRef/>
      </w:r>
      <w:r>
        <w:tab/>
      </w:r>
      <w:r w:rsidRPr="00C93B21">
        <w:t xml:space="preserve">Part of the impact of the supply shock on oil prices in the adverse and severe scenarios is mitigated by </w:t>
      </w:r>
      <w:r>
        <w:t xml:space="preserve">the </w:t>
      </w:r>
      <w:r w:rsidRPr="00C93B21">
        <w:t>assum</w:t>
      </w:r>
      <w:r>
        <w:t>ption</w:t>
      </w:r>
      <w:r w:rsidRPr="00C93B21">
        <w:t xml:space="preserve"> that a share of </w:t>
      </w:r>
      <w:r w:rsidR="00806248">
        <w:t xml:space="preserve">the </w:t>
      </w:r>
      <w:r w:rsidRPr="00C93B21">
        <w:t xml:space="preserve">oil flows </w:t>
      </w:r>
      <w:r w:rsidR="00806248">
        <w:t xml:space="preserve">from Saudi Arabia and the United Arab Emirates </w:t>
      </w:r>
      <w:r w:rsidRPr="00C93B21">
        <w:t>can be rerouted through existing pipeline infrastructure</w:t>
      </w:r>
      <w:r>
        <w:t>.</w:t>
      </w:r>
    </w:p>
  </w:footnote>
  <w:footnote w:id="16">
    <w:p w14:paraId="3D2887F8" w14:textId="77777777" w:rsidR="00154887" w:rsidRDefault="00154887">
      <w:pPr>
        <w:pStyle w:val="FootnoteText"/>
      </w:pPr>
      <w:r>
        <w:rPr>
          <w:rStyle w:val="FootnoteReference"/>
        </w:rPr>
        <w:footnoteRef/>
      </w:r>
      <w:r>
        <w:t xml:space="preserve"> </w:t>
      </w:r>
      <w:r>
        <w:tab/>
      </w:r>
      <w:r w:rsidRPr="001129B8">
        <w:t xml:space="preserve">In order to estimate the impact of uncertainty on euro area real GDP, conditional forecast simulations have been conducted using an empirical BVAR model, based on the paths of financial market uncertainty </w:t>
      </w:r>
      <w:r>
        <w:t xml:space="preserve">contained </w:t>
      </w:r>
      <w:r w:rsidRPr="001129B8">
        <w:t xml:space="preserve">in the two scenarios. The effects on real GDP are </w:t>
      </w:r>
      <w:r>
        <w:t>obtained</w:t>
      </w:r>
      <w:r w:rsidRPr="001129B8">
        <w:t xml:space="preserve"> relative to an unconditional forecast simulation within the same empirical framework.</w:t>
      </w:r>
    </w:p>
  </w:footnote>
  <w:footnote w:id="17">
    <w:p w14:paraId="56F50DBC" w14:textId="77777777" w:rsidR="00154887" w:rsidRPr="00790A0C" w:rsidRDefault="00154887">
      <w:pPr>
        <w:pStyle w:val="FootnoteText"/>
        <w:rPr>
          <w:lang w:val="en-US"/>
        </w:rPr>
      </w:pPr>
      <w:r>
        <w:rPr>
          <w:rStyle w:val="FootnoteReference"/>
        </w:rPr>
        <w:footnoteRef/>
      </w:r>
      <w:r>
        <w:t xml:space="preserve"> </w:t>
      </w:r>
      <w:r>
        <w:tab/>
      </w:r>
      <w:r w:rsidRPr="00790A0C">
        <w:t xml:space="preserve">To quantify these effects, the </w:t>
      </w:r>
      <w:r>
        <w:t xml:space="preserve">path of the </w:t>
      </w:r>
      <w:r w:rsidRPr="00790A0C">
        <w:t xml:space="preserve">VIX </w:t>
      </w:r>
      <w:r>
        <w:t>index</w:t>
      </w:r>
      <w:r w:rsidRPr="00790A0C">
        <w:t xml:space="preserve"> </w:t>
      </w:r>
      <w:r>
        <w:t>in</w:t>
      </w:r>
      <w:r w:rsidRPr="00790A0C">
        <w:t xml:space="preserve"> the </w:t>
      </w:r>
      <w:r>
        <w:t>respective</w:t>
      </w:r>
      <w:r w:rsidRPr="00790A0C">
        <w:t xml:space="preserve"> scenario is used to condition a BVAR model, </w:t>
      </w:r>
      <w:r>
        <w:t>which includes</w:t>
      </w:r>
      <w:r w:rsidRPr="00790A0C">
        <w:t xml:space="preserve"> key euro area financial variables, allowing their trajectories to be derived in a scenario-consistent manner</w:t>
      </w:r>
      <w:r>
        <w:t>.</w:t>
      </w:r>
    </w:p>
  </w:footnote>
  <w:footnote w:id="18">
    <w:p w14:paraId="121CBA92" w14:textId="77777777" w:rsidR="00154887" w:rsidRPr="001E6321" w:rsidRDefault="00154887">
      <w:pPr>
        <w:pStyle w:val="FootnoteText"/>
      </w:pPr>
      <w:r>
        <w:rPr>
          <w:rStyle w:val="FootnoteReference"/>
        </w:rPr>
        <w:footnoteRef/>
      </w:r>
      <w:r>
        <w:t xml:space="preserve"> </w:t>
      </w:r>
      <w:r>
        <w:tab/>
        <w:t>The Middle East accounts for around 4.5% of euro area exports.</w:t>
      </w:r>
    </w:p>
  </w:footnote>
  <w:footnote w:id="19">
    <w:p w14:paraId="732E1B46" w14:textId="61181EC7" w:rsidR="00154887" w:rsidRPr="00B56613" w:rsidRDefault="00154887">
      <w:pPr>
        <w:pStyle w:val="FootnoteText"/>
      </w:pPr>
      <w:r>
        <w:rPr>
          <w:rStyle w:val="FootnoteReference"/>
        </w:rPr>
        <w:footnoteRef/>
      </w:r>
      <w:r>
        <w:t xml:space="preserve"> </w:t>
      </w:r>
      <w:r>
        <w:tab/>
      </w:r>
      <w:r w:rsidRPr="00047C5B">
        <w:t xml:space="preserve">The elasticities observed during the </w:t>
      </w:r>
      <w:r>
        <w:t>2021-</w:t>
      </w:r>
      <w:r w:rsidRPr="00047C5B">
        <w:t>22 episode</w:t>
      </w:r>
      <w:r>
        <w:t xml:space="preserve"> of high inflation</w:t>
      </w:r>
      <w:r w:rsidRPr="00047C5B">
        <w:t xml:space="preserve"> implied stronger transmission </w:t>
      </w:r>
      <w:r>
        <w:t xml:space="preserve">of energy price shocks to consumer prices </w:t>
      </w:r>
      <w:r w:rsidRPr="00CD295B">
        <w:t>than those captured within</w:t>
      </w:r>
      <w:r>
        <w:t xml:space="preserve"> standard</w:t>
      </w:r>
      <w:r w:rsidRPr="00CD295B">
        <w:t xml:space="preserve"> projection models</w:t>
      </w:r>
      <w:r w:rsidRPr="00047C5B">
        <w:t xml:space="preserve">. Interpreting peak price responses as indicative elasticities suggests transmission of around </w:t>
      </w:r>
      <w:r>
        <w:t>35</w:t>
      </w:r>
      <w:r w:rsidRPr="00047C5B">
        <w:t>% from a synthetic energy commodity price index</w:t>
      </w:r>
      <w:r>
        <w:t xml:space="preserve"> (which</w:t>
      </w:r>
      <w:r w:rsidR="008A65FC">
        <w:t xml:space="preserve"> is </w:t>
      </w:r>
      <w:r w:rsidR="008A65FC" w:rsidRPr="001C12C3">
        <w:t xml:space="preserve">a weighted average of the oil and gas </w:t>
      </w:r>
      <w:r>
        <w:t>prices)</w:t>
      </w:r>
      <w:r w:rsidRPr="00047C5B">
        <w:t xml:space="preserve"> to HICP energy, around </w:t>
      </w:r>
      <w:r>
        <w:t>2</w:t>
      </w:r>
      <w:r w:rsidRPr="00047C5B">
        <w:t xml:space="preserve">5% to HICP food, around </w:t>
      </w:r>
      <w:r>
        <w:t>1</w:t>
      </w:r>
      <w:r w:rsidRPr="00047C5B">
        <w:t xml:space="preserve">0% to </w:t>
      </w:r>
      <w:r>
        <w:t>HICPX,</w:t>
      </w:r>
      <w:r w:rsidRPr="00047C5B">
        <w:t xml:space="preserve"> and around </w:t>
      </w:r>
      <w:r>
        <w:t>13</w:t>
      </w:r>
      <w:r w:rsidRPr="00047C5B">
        <w:t xml:space="preserve">% to headline HICP. </w:t>
      </w:r>
      <w:r w:rsidRPr="00CD295B">
        <w:t>Focusing on headline HICP</w:t>
      </w:r>
      <w:r>
        <w:t xml:space="preserve">, </w:t>
      </w:r>
      <w:r w:rsidRPr="00047C5B">
        <w:t>the recalibrated scenarios</w:t>
      </w:r>
      <w:r>
        <w:t xml:space="preserve"> anchor the transmission as</w:t>
      </w:r>
      <w:r w:rsidRPr="00733121">
        <w:t xml:space="preserve"> a fraction of</w:t>
      </w:r>
      <w:r>
        <w:t xml:space="preserve"> the observed episode.</w:t>
      </w:r>
      <w:r w:rsidRPr="00733121">
        <w:t xml:space="preserve"> </w:t>
      </w:r>
      <w:r w:rsidRPr="00047C5B">
        <w:t xml:space="preserve">In the adverse scenario, </w:t>
      </w:r>
      <w:r>
        <w:t xml:space="preserve">the recalibration sets the pass-through to the HICP at around one-third of the observed elasticity in 2021-22, </w:t>
      </w:r>
      <w:r w:rsidRPr="00047C5B">
        <w:t xml:space="preserve">while in the severe scenario </w:t>
      </w:r>
      <w:r>
        <w:t>it increases to around two-thirds</w:t>
      </w:r>
      <w:r w:rsidRPr="00047C5B">
        <w:t>.</w:t>
      </w:r>
    </w:p>
  </w:footnote>
  <w:footnote w:id="20">
    <w:p w14:paraId="4AD93B06" w14:textId="77777777" w:rsidR="00154887" w:rsidRPr="00012A47" w:rsidRDefault="00154887">
      <w:pPr>
        <w:pStyle w:val="FootnoteText"/>
      </w:pPr>
      <w:r>
        <w:rPr>
          <w:rStyle w:val="FootnoteReference"/>
        </w:rPr>
        <w:footnoteRef/>
      </w:r>
      <w:r>
        <w:t xml:space="preserve"> </w:t>
      </w:r>
      <w:r>
        <w:tab/>
      </w:r>
      <w:r w:rsidRPr="00012A47">
        <w:t>Indirect</w:t>
      </w:r>
      <w:r>
        <w:t xml:space="preserve"> and </w:t>
      </w:r>
      <w:r w:rsidRPr="00012A47">
        <w:t xml:space="preserve">second-round effects are captured through three mechanisms: (i) stronger pass-through from energy prices to </w:t>
      </w:r>
      <w:r>
        <w:t>HICPX</w:t>
      </w:r>
      <w:r w:rsidRPr="00012A47">
        <w:t xml:space="preserve"> inflation in the Phillips curve</w:t>
      </w:r>
      <w:r>
        <w:t>,</w:t>
      </w:r>
      <w:r w:rsidRPr="00012A47">
        <w:t xml:space="preserve"> reflecting higher marginal cost pressures; (ii) increased wage indexation leading to stronger nominal wage growth; and (iii) more responsive long-term inflation expectations to </w:t>
      </w:r>
      <w:r>
        <w:t>developments in</w:t>
      </w:r>
      <w:r w:rsidRPr="00012A47">
        <w:t xml:space="preserve"> HICP </w:t>
      </w:r>
      <w:r>
        <w:t>inflation</w:t>
      </w:r>
      <w:r w:rsidRPr="00012A47">
        <w:t>.</w:t>
      </w:r>
    </w:p>
  </w:footnote>
  <w:footnote w:id="21">
    <w:p w14:paraId="0E004BBA" w14:textId="77777777" w:rsidR="00E24F39" w:rsidRPr="00F03645" w:rsidRDefault="00E24F39" w:rsidP="008345AD">
      <w:pPr>
        <w:pStyle w:val="FootnoteText"/>
        <w:rPr>
          <w:szCs w:val="15"/>
        </w:rPr>
      </w:pPr>
      <w:r w:rsidRPr="00F03645">
        <w:rPr>
          <w:rStyle w:val="FootnoteReference"/>
          <w:szCs w:val="15"/>
        </w:rPr>
        <w:footnoteRef/>
      </w:r>
      <w:r w:rsidRPr="00F03645">
        <w:rPr>
          <w:szCs w:val="15"/>
        </w:rPr>
        <w:t xml:space="preserve"> </w:t>
      </w:r>
      <w:r w:rsidRPr="00F03645">
        <w:rPr>
          <w:szCs w:val="15"/>
        </w:rPr>
        <w:tab/>
        <w:t xml:space="preserve">The market prices used are those prevailing on </w:t>
      </w:r>
      <w:r>
        <w:t>11</w:t>
      </w:r>
      <w:r w:rsidRPr="00F03645">
        <w:rPr>
          <w:szCs w:val="15"/>
        </w:rPr>
        <w:t xml:space="preserve"> </w:t>
      </w:r>
      <w:r>
        <w:t>March</w:t>
      </w:r>
      <w:r w:rsidRPr="00F03645">
        <w:rPr>
          <w:szCs w:val="15"/>
        </w:rPr>
        <w:t xml:space="preserve"> 202</w:t>
      </w:r>
      <w:r>
        <w:t>6</w:t>
      </w:r>
      <w:r w:rsidRPr="00F03645">
        <w:rPr>
          <w:szCs w:val="15"/>
        </w:rPr>
        <w:t xml:space="preserve"> (the cut-off date for the technical assumptions).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9178" w14:textId="3E662C6D" w:rsidR="002F1C3C" w:rsidRDefault="002F1C3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0F38D" w14:textId="6138FECA" w:rsidR="001A2CF6" w:rsidRDefault="001A2CF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0DF01" w14:textId="0AB1C757" w:rsidR="005C0001" w:rsidRPr="005C0001" w:rsidRDefault="005C0001" w:rsidP="005C000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5651" w14:textId="1407CF8B" w:rsidR="001A2CF6" w:rsidRDefault="001A2C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1CDF" w14:textId="3F0859B4" w:rsidR="002F1C3C" w:rsidRDefault="002F1C3C" w:rsidP="005C0001">
    <w:pPr>
      <w:pStyle w:val="Header"/>
    </w:pPr>
    <w:r w:rsidRPr="00907832">
      <w:rPr>
        <w:noProof/>
      </w:rPr>
      <mc:AlternateContent>
        <mc:Choice Requires="wps">
          <w:drawing>
            <wp:anchor distT="0" distB="0" distL="114300" distR="114300" simplePos="0" relativeHeight="251651584" behindDoc="1" locked="1" layoutInCell="1" allowOverlap="1" wp14:anchorId="1CA0E8A1" wp14:editId="613824DC">
              <wp:simplePos x="0" y="0"/>
              <wp:positionH relativeFrom="page">
                <wp:align>left</wp:align>
              </wp:positionH>
              <wp:positionV relativeFrom="page">
                <wp:align>top</wp:align>
              </wp:positionV>
              <wp:extent cx="7560000" cy="1512000"/>
              <wp:effectExtent l="0" t="0" r="317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000" cy="1512000"/>
                      </a:xfrm>
                      <a:prstGeom prst="rect">
                        <a:avLst/>
                      </a:prstGeom>
                      <a:solidFill>
                        <a:srgbClr val="CFD0D0"/>
                      </a:solidFill>
                      <a:ln w="6350">
                        <a:noFill/>
                      </a:ln>
                      <a:effectLst/>
                    </wps:spPr>
                    <wps:txbx>
                      <w:txbxContent>
                        <w:sdt>
                          <w:sdtPr>
                            <w:alias w:val="Logo"/>
                            <w:tag w:val="Logo"/>
                            <w:id w:val="-390732921"/>
                            <w:placeholder>
                              <w:docPart w:val="3BD550C42D2D4462854672BAACE1DBA2"/>
                            </w:placeholder>
                            <w:docPartList>
                              <w:docPartGallery w:val="Quick Parts"/>
                              <w:docPartCategory w:val="General Logo"/>
                            </w:docPartList>
                          </w:sdtPr>
                          <w:sdtContent>
                            <w:p w14:paraId="5B792D1C" w14:textId="77777777" w:rsidR="002F1C3C" w:rsidRDefault="002F1C3C" w:rsidP="005C0001">
                              <w:pPr>
                                <w:pStyle w:val="Logo"/>
                              </w:pPr>
                              <w:r>
                                <w:rPr>
                                  <w:noProof/>
                                </w:rPr>
                                <w:drawing>
                                  <wp:inline distT="0" distB="0" distL="0" distR="0" wp14:anchorId="52C48215" wp14:editId="57BF4395">
                                    <wp:extent cx="2221200" cy="792000"/>
                                    <wp:effectExtent l="0" t="0" r="0" b="8255"/>
                                    <wp:docPr id="1690505002" name="Picture 1690505002" descr="P:\General\EUD\Word\ECB Templates\Logo\ECB\ECB_EN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General\EUD\Word\ECB Templates\Logo\ECB\ECB_EN_RGB.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200" cy="792000"/>
                                            </a:xfrm>
                                            <a:prstGeom prst="rect">
                                              <a:avLst/>
                                            </a:prstGeom>
                                            <a:noFill/>
                                            <a:ln>
                                              <a:noFill/>
                                            </a:ln>
                                          </pic:spPr>
                                        </pic:pic>
                                      </a:graphicData>
                                    </a:graphic>
                                  </wp:inline>
                                </w:drawing>
                              </w:r>
                            </w:p>
                          </w:sdtContent>
                        </w:sdt>
                      </w:txbxContent>
                    </wps:txbx>
                    <wps:bodyPr rot="0" spcFirstLastPara="0" vertOverflow="overflow" horzOverflow="overflow" vert="horz" wrap="square" lIns="91440" tIns="36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0E8A1" id="_x0000_t202" coordsize="21600,21600" o:spt="202" path="m,l,21600r21600,l21600,xe">
              <v:stroke joinstyle="miter"/>
              <v:path gradientshapeok="t" o:connecttype="rect"/>
            </v:shapetype>
            <v:shape id="Text Box 20" o:spid="_x0000_s1026" type="#_x0000_t202" style="position:absolute;left:0;text-align:left;margin-left:0;margin-top:0;width:595.3pt;height:119.05pt;z-index:-2516648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" fillcolor="#cfd0d0" stroked="f" strokeweight=".5pt">
              <v:textbox inset=",10mm">
                <w:txbxContent>
                  <w:sdt>
                    <w:sdtPr>
                      <w:alias w:val="Logo"/>
                      <w:tag w:val="Logo"/>
                      <w:id w:val="-390732921"/>
                      <w:placeholder>
                        <w:docPart w:val="3BD550C42D2D4462854672BAACE1DBA2"/>
                      </w:placeholder>
                      <w:docPartList>
                        <w:docPartGallery w:val="Quick Parts"/>
                        <w:docPartCategory w:val="General Logo"/>
                      </w:docPartList>
                    </w:sdtPr>
                    <w:sdtContent>
                      <w:p w14:paraId="5B792D1C" w14:textId="77777777" w:rsidR="002F1C3C" w:rsidRDefault="002F1C3C" w:rsidP="005C0001">
                        <w:pPr>
                          <w:pStyle w:val="Logo"/>
                        </w:pPr>
                        <w:r>
                          <w:rPr>
                            <w:noProof/>
                          </w:rPr>
                          <w:drawing>
                            <wp:inline distT="0" distB="0" distL="0" distR="0" wp14:anchorId="52C48215" wp14:editId="57BF4395">
                              <wp:extent cx="2221200" cy="792000"/>
                              <wp:effectExtent l="0" t="0" r="0" b="8255"/>
                              <wp:docPr id="1690505002" name="Picture 1690505002" descr="P:\General\EUD\Word\ECB Templates\Logo\ECB\ECB_EN_RG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General\EUD\Word\ECB Templates\Logo\ECB\ECB_EN_RGB.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1200" cy="792000"/>
                                      </a:xfrm>
                                      <a:prstGeom prst="rect">
                                        <a:avLst/>
                                      </a:prstGeom>
                                      <a:noFill/>
                                      <a:ln>
                                        <a:noFill/>
                                      </a:ln>
                                    </pic:spPr>
                                  </pic:pic>
                                </a:graphicData>
                              </a:graphic>
                            </wp:inline>
                          </w:drawing>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E7BBB" w14:textId="79048FAA" w:rsidR="002F1C3C" w:rsidRPr="00A43F47" w:rsidRDefault="002F1C3C" w:rsidP="005D32B0">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B643" w14:textId="51D1CF25" w:rsidR="002F1C3C" w:rsidRDefault="002F1C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9BF1F" w14:textId="02D5740D" w:rsidR="002F1C3C" w:rsidRPr="005C0001" w:rsidRDefault="002F1C3C" w:rsidP="005C00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B6351" w14:textId="415C0916" w:rsidR="002F1C3C" w:rsidRDefault="002F1C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E5BD" w14:textId="56F2F2DE" w:rsidR="00637789" w:rsidRDefault="0063778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A0F19" w14:textId="4D231BEB" w:rsidR="00637789" w:rsidRDefault="006377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9F4C" w14:textId="62936F56" w:rsidR="00637789" w:rsidRDefault="006377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49D2"/>
    <w:multiLevelType w:val="hybridMultilevel"/>
    <w:tmpl w:val="98CC7368"/>
    <w:lvl w:ilvl="0" w:tplc="CE14901A">
      <w:start w:val="1"/>
      <w:numFmt w:val="bullet"/>
      <w:lvlText w:val="•"/>
      <w:lvlJc w:val="left"/>
      <w:pPr>
        <w:tabs>
          <w:tab w:val="num" w:pos="720"/>
        </w:tabs>
        <w:ind w:left="720" w:hanging="360"/>
      </w:pPr>
      <w:rPr>
        <w:rFonts w:ascii="Arial" w:hAnsi="Arial" w:hint="default"/>
      </w:rPr>
    </w:lvl>
    <w:lvl w:ilvl="1" w:tplc="9C4A3AA6" w:tentative="1">
      <w:start w:val="1"/>
      <w:numFmt w:val="bullet"/>
      <w:lvlText w:val="•"/>
      <w:lvlJc w:val="left"/>
      <w:pPr>
        <w:tabs>
          <w:tab w:val="num" w:pos="1440"/>
        </w:tabs>
        <w:ind w:left="1440" w:hanging="360"/>
      </w:pPr>
      <w:rPr>
        <w:rFonts w:ascii="Arial" w:hAnsi="Arial" w:hint="default"/>
      </w:rPr>
    </w:lvl>
    <w:lvl w:ilvl="2" w:tplc="3D9284E2" w:tentative="1">
      <w:start w:val="1"/>
      <w:numFmt w:val="bullet"/>
      <w:lvlText w:val="•"/>
      <w:lvlJc w:val="left"/>
      <w:pPr>
        <w:tabs>
          <w:tab w:val="num" w:pos="2160"/>
        </w:tabs>
        <w:ind w:left="2160" w:hanging="360"/>
      </w:pPr>
      <w:rPr>
        <w:rFonts w:ascii="Arial" w:hAnsi="Arial" w:hint="default"/>
      </w:rPr>
    </w:lvl>
    <w:lvl w:ilvl="3" w:tplc="3F726EC0" w:tentative="1">
      <w:start w:val="1"/>
      <w:numFmt w:val="bullet"/>
      <w:lvlText w:val="•"/>
      <w:lvlJc w:val="left"/>
      <w:pPr>
        <w:tabs>
          <w:tab w:val="num" w:pos="2880"/>
        </w:tabs>
        <w:ind w:left="2880" w:hanging="360"/>
      </w:pPr>
      <w:rPr>
        <w:rFonts w:ascii="Arial" w:hAnsi="Arial" w:hint="default"/>
      </w:rPr>
    </w:lvl>
    <w:lvl w:ilvl="4" w:tplc="2DB00C72" w:tentative="1">
      <w:start w:val="1"/>
      <w:numFmt w:val="bullet"/>
      <w:lvlText w:val="•"/>
      <w:lvlJc w:val="left"/>
      <w:pPr>
        <w:tabs>
          <w:tab w:val="num" w:pos="3600"/>
        </w:tabs>
        <w:ind w:left="3600" w:hanging="360"/>
      </w:pPr>
      <w:rPr>
        <w:rFonts w:ascii="Arial" w:hAnsi="Arial" w:hint="default"/>
      </w:rPr>
    </w:lvl>
    <w:lvl w:ilvl="5" w:tplc="C85C05B4" w:tentative="1">
      <w:start w:val="1"/>
      <w:numFmt w:val="bullet"/>
      <w:lvlText w:val="•"/>
      <w:lvlJc w:val="left"/>
      <w:pPr>
        <w:tabs>
          <w:tab w:val="num" w:pos="4320"/>
        </w:tabs>
        <w:ind w:left="4320" w:hanging="360"/>
      </w:pPr>
      <w:rPr>
        <w:rFonts w:ascii="Arial" w:hAnsi="Arial" w:hint="default"/>
      </w:rPr>
    </w:lvl>
    <w:lvl w:ilvl="6" w:tplc="032C0600" w:tentative="1">
      <w:start w:val="1"/>
      <w:numFmt w:val="bullet"/>
      <w:lvlText w:val="•"/>
      <w:lvlJc w:val="left"/>
      <w:pPr>
        <w:tabs>
          <w:tab w:val="num" w:pos="5040"/>
        </w:tabs>
        <w:ind w:left="5040" w:hanging="360"/>
      </w:pPr>
      <w:rPr>
        <w:rFonts w:ascii="Arial" w:hAnsi="Arial" w:hint="default"/>
      </w:rPr>
    </w:lvl>
    <w:lvl w:ilvl="7" w:tplc="75D28A5A" w:tentative="1">
      <w:start w:val="1"/>
      <w:numFmt w:val="bullet"/>
      <w:lvlText w:val="•"/>
      <w:lvlJc w:val="left"/>
      <w:pPr>
        <w:tabs>
          <w:tab w:val="num" w:pos="5760"/>
        </w:tabs>
        <w:ind w:left="5760" w:hanging="360"/>
      </w:pPr>
      <w:rPr>
        <w:rFonts w:ascii="Arial" w:hAnsi="Arial" w:hint="default"/>
      </w:rPr>
    </w:lvl>
    <w:lvl w:ilvl="8" w:tplc="4A866B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210D23"/>
    <w:multiLevelType w:val="multilevel"/>
    <w:tmpl w:val="3B2ED3BE"/>
    <w:styleLink w:val="ECBpublicationsheadings"/>
    <w:lvl w:ilvl="0">
      <w:start w:val="1"/>
      <w:numFmt w:val="decimal"/>
      <w:pStyle w:val="Heading1"/>
      <w:lvlText w:val="%1"/>
      <w:lvlJc w:val="left"/>
      <w:pPr>
        <w:tabs>
          <w:tab w:val="num" w:pos="0"/>
        </w:tabs>
        <w:ind w:left="0" w:hanging="1247"/>
      </w:pPr>
      <w:rPr>
        <w:rFonts w:hint="default"/>
      </w:rPr>
    </w:lvl>
    <w:lvl w:ilvl="1">
      <w:start w:val="1"/>
      <w:numFmt w:val="decimal"/>
      <w:pStyle w:val="Heading2"/>
      <w:lvlText w:val="%1.%2"/>
      <w:lvlJc w:val="left"/>
      <w:pPr>
        <w:tabs>
          <w:tab w:val="num" w:pos="0"/>
        </w:tabs>
        <w:ind w:left="0" w:hanging="1247"/>
      </w:pPr>
      <w:rPr>
        <w:rFonts w:hint="default"/>
      </w:rPr>
    </w:lvl>
    <w:lvl w:ilvl="2">
      <w:start w:val="1"/>
      <w:numFmt w:val="decimal"/>
      <w:pStyle w:val="Heading3"/>
      <w:lvlText w:val="%1.%2.%3"/>
      <w:lvlJc w:val="left"/>
      <w:pPr>
        <w:tabs>
          <w:tab w:val="num" w:pos="0"/>
        </w:tabs>
        <w:ind w:left="0" w:hanging="1247"/>
      </w:pPr>
      <w:rPr>
        <w:rFonts w:hint="default"/>
      </w:rPr>
    </w:lvl>
    <w:lvl w:ilvl="3">
      <w:start w:val="1"/>
      <w:numFmt w:val="decimal"/>
      <w:pStyle w:val="Heading4"/>
      <w:lvlText w:val="%1.%2.%3.%4"/>
      <w:lvlJc w:val="left"/>
      <w:pPr>
        <w:tabs>
          <w:tab w:val="num" w:pos="0"/>
        </w:tabs>
        <w:ind w:left="0" w:hanging="1247"/>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decimal"/>
      <w:lvlText w:val="%1.%2.%3.%4.%5.%6.%7.%8"/>
      <w:lvlJc w:val="left"/>
      <w:pPr>
        <w:tabs>
          <w:tab w:val="num" w:pos="2608"/>
        </w:tabs>
        <w:ind w:left="2608" w:firstLine="0"/>
      </w:pPr>
      <w:rPr>
        <w:rFonts w:hint="default"/>
      </w:rPr>
    </w:lvl>
    <w:lvl w:ilvl="8">
      <w:start w:val="1"/>
      <w:numFmt w:val="decimal"/>
      <w:lvlText w:val="%1.%2.%3.%4.%5.%6.%7.%8.%9"/>
      <w:lvlJc w:val="left"/>
      <w:pPr>
        <w:tabs>
          <w:tab w:val="num" w:pos="2608"/>
        </w:tabs>
        <w:ind w:left="2608" w:firstLine="0"/>
      </w:pPr>
      <w:rPr>
        <w:rFonts w:hint="default"/>
      </w:rPr>
    </w:lvl>
  </w:abstractNum>
  <w:abstractNum w:abstractNumId="2" w15:restartNumberingAfterBreak="0">
    <w:nsid w:val="0FB1328B"/>
    <w:multiLevelType w:val="hybridMultilevel"/>
    <w:tmpl w:val="975E883C"/>
    <w:lvl w:ilvl="0" w:tplc="115E934A">
      <w:start w:val="1"/>
      <w:numFmt w:val="bullet"/>
      <w:lvlText w:val="•"/>
      <w:lvlJc w:val="left"/>
      <w:pPr>
        <w:tabs>
          <w:tab w:val="num" w:pos="720"/>
        </w:tabs>
        <w:ind w:left="720" w:hanging="360"/>
      </w:pPr>
      <w:rPr>
        <w:rFonts w:ascii="Arial" w:hAnsi="Arial" w:hint="default"/>
      </w:rPr>
    </w:lvl>
    <w:lvl w:ilvl="1" w:tplc="FDBCD844" w:tentative="1">
      <w:start w:val="1"/>
      <w:numFmt w:val="bullet"/>
      <w:lvlText w:val="•"/>
      <w:lvlJc w:val="left"/>
      <w:pPr>
        <w:tabs>
          <w:tab w:val="num" w:pos="1440"/>
        </w:tabs>
        <w:ind w:left="1440" w:hanging="360"/>
      </w:pPr>
      <w:rPr>
        <w:rFonts w:ascii="Arial" w:hAnsi="Arial" w:hint="default"/>
      </w:rPr>
    </w:lvl>
    <w:lvl w:ilvl="2" w:tplc="68C0E760" w:tentative="1">
      <w:start w:val="1"/>
      <w:numFmt w:val="bullet"/>
      <w:lvlText w:val="•"/>
      <w:lvlJc w:val="left"/>
      <w:pPr>
        <w:tabs>
          <w:tab w:val="num" w:pos="2160"/>
        </w:tabs>
        <w:ind w:left="2160" w:hanging="360"/>
      </w:pPr>
      <w:rPr>
        <w:rFonts w:ascii="Arial" w:hAnsi="Arial" w:hint="default"/>
      </w:rPr>
    </w:lvl>
    <w:lvl w:ilvl="3" w:tplc="F080E6BE" w:tentative="1">
      <w:start w:val="1"/>
      <w:numFmt w:val="bullet"/>
      <w:lvlText w:val="•"/>
      <w:lvlJc w:val="left"/>
      <w:pPr>
        <w:tabs>
          <w:tab w:val="num" w:pos="2880"/>
        </w:tabs>
        <w:ind w:left="2880" w:hanging="360"/>
      </w:pPr>
      <w:rPr>
        <w:rFonts w:ascii="Arial" w:hAnsi="Arial" w:hint="default"/>
      </w:rPr>
    </w:lvl>
    <w:lvl w:ilvl="4" w:tplc="B712C3EC" w:tentative="1">
      <w:start w:val="1"/>
      <w:numFmt w:val="bullet"/>
      <w:lvlText w:val="•"/>
      <w:lvlJc w:val="left"/>
      <w:pPr>
        <w:tabs>
          <w:tab w:val="num" w:pos="3600"/>
        </w:tabs>
        <w:ind w:left="3600" w:hanging="360"/>
      </w:pPr>
      <w:rPr>
        <w:rFonts w:ascii="Arial" w:hAnsi="Arial" w:hint="default"/>
      </w:rPr>
    </w:lvl>
    <w:lvl w:ilvl="5" w:tplc="D52EF30A" w:tentative="1">
      <w:start w:val="1"/>
      <w:numFmt w:val="bullet"/>
      <w:lvlText w:val="•"/>
      <w:lvlJc w:val="left"/>
      <w:pPr>
        <w:tabs>
          <w:tab w:val="num" w:pos="4320"/>
        </w:tabs>
        <w:ind w:left="4320" w:hanging="360"/>
      </w:pPr>
      <w:rPr>
        <w:rFonts w:ascii="Arial" w:hAnsi="Arial" w:hint="default"/>
      </w:rPr>
    </w:lvl>
    <w:lvl w:ilvl="6" w:tplc="8764A364" w:tentative="1">
      <w:start w:val="1"/>
      <w:numFmt w:val="bullet"/>
      <w:lvlText w:val="•"/>
      <w:lvlJc w:val="left"/>
      <w:pPr>
        <w:tabs>
          <w:tab w:val="num" w:pos="5040"/>
        </w:tabs>
        <w:ind w:left="5040" w:hanging="360"/>
      </w:pPr>
      <w:rPr>
        <w:rFonts w:ascii="Arial" w:hAnsi="Arial" w:hint="default"/>
      </w:rPr>
    </w:lvl>
    <w:lvl w:ilvl="7" w:tplc="C7BAD5CA" w:tentative="1">
      <w:start w:val="1"/>
      <w:numFmt w:val="bullet"/>
      <w:lvlText w:val="•"/>
      <w:lvlJc w:val="left"/>
      <w:pPr>
        <w:tabs>
          <w:tab w:val="num" w:pos="5760"/>
        </w:tabs>
        <w:ind w:left="5760" w:hanging="360"/>
      </w:pPr>
      <w:rPr>
        <w:rFonts w:ascii="Arial" w:hAnsi="Arial" w:hint="default"/>
      </w:rPr>
    </w:lvl>
    <w:lvl w:ilvl="8" w:tplc="1CE84E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3062BF"/>
    <w:multiLevelType w:val="hybridMultilevel"/>
    <w:tmpl w:val="D0B07AF8"/>
    <w:lvl w:ilvl="0" w:tplc="CCBE1624">
      <w:start w:val="1"/>
      <w:numFmt w:val="lowerLetter"/>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4" w15:restartNumberingAfterBreak="0">
    <w:nsid w:val="128B098B"/>
    <w:multiLevelType w:val="hybridMultilevel"/>
    <w:tmpl w:val="9F3C48EA"/>
    <w:lvl w:ilvl="0" w:tplc="8B84BE42">
      <w:start w:val="1"/>
      <w:numFmt w:val="bullet"/>
      <w:lvlText w:val=""/>
      <w:lvlJc w:val="left"/>
      <w:pPr>
        <w:ind w:left="720" w:hanging="360"/>
      </w:pPr>
      <w:rPr>
        <w:rFonts w:ascii="Symbol" w:hAnsi="Symbol"/>
      </w:rPr>
    </w:lvl>
    <w:lvl w:ilvl="1" w:tplc="67326A88">
      <w:start w:val="1"/>
      <w:numFmt w:val="bullet"/>
      <w:lvlText w:val=""/>
      <w:lvlJc w:val="left"/>
      <w:pPr>
        <w:ind w:left="720" w:hanging="360"/>
      </w:pPr>
      <w:rPr>
        <w:rFonts w:ascii="Symbol" w:hAnsi="Symbol"/>
      </w:rPr>
    </w:lvl>
    <w:lvl w:ilvl="2" w:tplc="3AD4336E">
      <w:start w:val="1"/>
      <w:numFmt w:val="bullet"/>
      <w:lvlText w:val=""/>
      <w:lvlJc w:val="left"/>
      <w:pPr>
        <w:ind w:left="720" w:hanging="360"/>
      </w:pPr>
      <w:rPr>
        <w:rFonts w:ascii="Symbol" w:hAnsi="Symbol"/>
      </w:rPr>
    </w:lvl>
    <w:lvl w:ilvl="3" w:tplc="5648A1F2">
      <w:start w:val="1"/>
      <w:numFmt w:val="bullet"/>
      <w:lvlText w:val=""/>
      <w:lvlJc w:val="left"/>
      <w:pPr>
        <w:ind w:left="720" w:hanging="360"/>
      </w:pPr>
      <w:rPr>
        <w:rFonts w:ascii="Symbol" w:hAnsi="Symbol"/>
      </w:rPr>
    </w:lvl>
    <w:lvl w:ilvl="4" w:tplc="3BE40890">
      <w:start w:val="1"/>
      <w:numFmt w:val="bullet"/>
      <w:lvlText w:val=""/>
      <w:lvlJc w:val="left"/>
      <w:pPr>
        <w:ind w:left="720" w:hanging="360"/>
      </w:pPr>
      <w:rPr>
        <w:rFonts w:ascii="Symbol" w:hAnsi="Symbol"/>
      </w:rPr>
    </w:lvl>
    <w:lvl w:ilvl="5" w:tplc="D604E95E">
      <w:start w:val="1"/>
      <w:numFmt w:val="bullet"/>
      <w:lvlText w:val=""/>
      <w:lvlJc w:val="left"/>
      <w:pPr>
        <w:ind w:left="720" w:hanging="360"/>
      </w:pPr>
      <w:rPr>
        <w:rFonts w:ascii="Symbol" w:hAnsi="Symbol"/>
      </w:rPr>
    </w:lvl>
    <w:lvl w:ilvl="6" w:tplc="5F7809F6">
      <w:start w:val="1"/>
      <w:numFmt w:val="bullet"/>
      <w:lvlText w:val=""/>
      <w:lvlJc w:val="left"/>
      <w:pPr>
        <w:ind w:left="720" w:hanging="360"/>
      </w:pPr>
      <w:rPr>
        <w:rFonts w:ascii="Symbol" w:hAnsi="Symbol"/>
      </w:rPr>
    </w:lvl>
    <w:lvl w:ilvl="7" w:tplc="738E90AE">
      <w:start w:val="1"/>
      <w:numFmt w:val="bullet"/>
      <w:lvlText w:val=""/>
      <w:lvlJc w:val="left"/>
      <w:pPr>
        <w:ind w:left="720" w:hanging="360"/>
      </w:pPr>
      <w:rPr>
        <w:rFonts w:ascii="Symbol" w:hAnsi="Symbol"/>
      </w:rPr>
    </w:lvl>
    <w:lvl w:ilvl="8" w:tplc="E6389206">
      <w:start w:val="1"/>
      <w:numFmt w:val="bullet"/>
      <w:lvlText w:val=""/>
      <w:lvlJc w:val="left"/>
      <w:pPr>
        <w:ind w:left="720" w:hanging="360"/>
      </w:pPr>
      <w:rPr>
        <w:rFonts w:ascii="Symbol" w:hAnsi="Symbol"/>
      </w:rPr>
    </w:lvl>
  </w:abstractNum>
  <w:abstractNum w:abstractNumId="5" w15:restartNumberingAfterBreak="0">
    <w:nsid w:val="146B7D95"/>
    <w:multiLevelType w:val="hybridMultilevel"/>
    <w:tmpl w:val="32320850"/>
    <w:lvl w:ilvl="0" w:tplc="3FB68456">
      <w:start w:val="1"/>
      <w:numFmt w:val="bullet"/>
      <w:lvlText w:val="•"/>
      <w:lvlJc w:val="left"/>
      <w:pPr>
        <w:tabs>
          <w:tab w:val="num" w:pos="720"/>
        </w:tabs>
        <w:ind w:left="720" w:hanging="360"/>
      </w:pPr>
      <w:rPr>
        <w:rFonts w:ascii="Arial" w:hAnsi="Arial" w:hint="default"/>
      </w:rPr>
    </w:lvl>
    <w:lvl w:ilvl="1" w:tplc="692660D2" w:tentative="1">
      <w:start w:val="1"/>
      <w:numFmt w:val="bullet"/>
      <w:lvlText w:val="•"/>
      <w:lvlJc w:val="left"/>
      <w:pPr>
        <w:tabs>
          <w:tab w:val="num" w:pos="1440"/>
        </w:tabs>
        <w:ind w:left="1440" w:hanging="360"/>
      </w:pPr>
      <w:rPr>
        <w:rFonts w:ascii="Arial" w:hAnsi="Arial" w:hint="default"/>
      </w:rPr>
    </w:lvl>
    <w:lvl w:ilvl="2" w:tplc="D5AA8B20" w:tentative="1">
      <w:start w:val="1"/>
      <w:numFmt w:val="bullet"/>
      <w:lvlText w:val="•"/>
      <w:lvlJc w:val="left"/>
      <w:pPr>
        <w:tabs>
          <w:tab w:val="num" w:pos="2160"/>
        </w:tabs>
        <w:ind w:left="2160" w:hanging="360"/>
      </w:pPr>
      <w:rPr>
        <w:rFonts w:ascii="Arial" w:hAnsi="Arial" w:hint="default"/>
      </w:rPr>
    </w:lvl>
    <w:lvl w:ilvl="3" w:tplc="B8E4743A" w:tentative="1">
      <w:start w:val="1"/>
      <w:numFmt w:val="bullet"/>
      <w:lvlText w:val="•"/>
      <w:lvlJc w:val="left"/>
      <w:pPr>
        <w:tabs>
          <w:tab w:val="num" w:pos="2880"/>
        </w:tabs>
        <w:ind w:left="2880" w:hanging="360"/>
      </w:pPr>
      <w:rPr>
        <w:rFonts w:ascii="Arial" w:hAnsi="Arial" w:hint="default"/>
      </w:rPr>
    </w:lvl>
    <w:lvl w:ilvl="4" w:tplc="4C446052" w:tentative="1">
      <w:start w:val="1"/>
      <w:numFmt w:val="bullet"/>
      <w:lvlText w:val="•"/>
      <w:lvlJc w:val="left"/>
      <w:pPr>
        <w:tabs>
          <w:tab w:val="num" w:pos="3600"/>
        </w:tabs>
        <w:ind w:left="3600" w:hanging="360"/>
      </w:pPr>
      <w:rPr>
        <w:rFonts w:ascii="Arial" w:hAnsi="Arial" w:hint="default"/>
      </w:rPr>
    </w:lvl>
    <w:lvl w:ilvl="5" w:tplc="ADD8AC7E" w:tentative="1">
      <w:start w:val="1"/>
      <w:numFmt w:val="bullet"/>
      <w:lvlText w:val="•"/>
      <w:lvlJc w:val="left"/>
      <w:pPr>
        <w:tabs>
          <w:tab w:val="num" w:pos="4320"/>
        </w:tabs>
        <w:ind w:left="4320" w:hanging="360"/>
      </w:pPr>
      <w:rPr>
        <w:rFonts w:ascii="Arial" w:hAnsi="Arial" w:hint="default"/>
      </w:rPr>
    </w:lvl>
    <w:lvl w:ilvl="6" w:tplc="045816CA" w:tentative="1">
      <w:start w:val="1"/>
      <w:numFmt w:val="bullet"/>
      <w:lvlText w:val="•"/>
      <w:lvlJc w:val="left"/>
      <w:pPr>
        <w:tabs>
          <w:tab w:val="num" w:pos="5040"/>
        </w:tabs>
        <w:ind w:left="5040" w:hanging="360"/>
      </w:pPr>
      <w:rPr>
        <w:rFonts w:ascii="Arial" w:hAnsi="Arial" w:hint="default"/>
      </w:rPr>
    </w:lvl>
    <w:lvl w:ilvl="7" w:tplc="B8425CB8" w:tentative="1">
      <w:start w:val="1"/>
      <w:numFmt w:val="bullet"/>
      <w:lvlText w:val="•"/>
      <w:lvlJc w:val="left"/>
      <w:pPr>
        <w:tabs>
          <w:tab w:val="num" w:pos="5760"/>
        </w:tabs>
        <w:ind w:left="5760" w:hanging="360"/>
      </w:pPr>
      <w:rPr>
        <w:rFonts w:ascii="Arial" w:hAnsi="Arial" w:hint="default"/>
      </w:rPr>
    </w:lvl>
    <w:lvl w:ilvl="8" w:tplc="6936D1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FC1A6D"/>
    <w:multiLevelType w:val="hybridMultilevel"/>
    <w:tmpl w:val="DF1CF548"/>
    <w:lvl w:ilvl="0" w:tplc="967206E0">
      <w:start w:val="1"/>
      <w:numFmt w:val="bullet"/>
      <w:lvlText w:val="•"/>
      <w:lvlJc w:val="left"/>
      <w:pPr>
        <w:tabs>
          <w:tab w:val="num" w:pos="720"/>
        </w:tabs>
        <w:ind w:left="720" w:hanging="360"/>
      </w:pPr>
      <w:rPr>
        <w:rFonts w:ascii="Arial" w:hAnsi="Arial" w:hint="default"/>
      </w:rPr>
    </w:lvl>
    <w:lvl w:ilvl="1" w:tplc="125802F6" w:tentative="1">
      <w:start w:val="1"/>
      <w:numFmt w:val="bullet"/>
      <w:lvlText w:val="•"/>
      <w:lvlJc w:val="left"/>
      <w:pPr>
        <w:tabs>
          <w:tab w:val="num" w:pos="1440"/>
        </w:tabs>
        <w:ind w:left="1440" w:hanging="360"/>
      </w:pPr>
      <w:rPr>
        <w:rFonts w:ascii="Arial" w:hAnsi="Arial" w:hint="default"/>
      </w:rPr>
    </w:lvl>
    <w:lvl w:ilvl="2" w:tplc="F49A4FEC" w:tentative="1">
      <w:start w:val="1"/>
      <w:numFmt w:val="bullet"/>
      <w:lvlText w:val="•"/>
      <w:lvlJc w:val="left"/>
      <w:pPr>
        <w:tabs>
          <w:tab w:val="num" w:pos="2160"/>
        </w:tabs>
        <w:ind w:left="2160" w:hanging="360"/>
      </w:pPr>
      <w:rPr>
        <w:rFonts w:ascii="Arial" w:hAnsi="Arial" w:hint="default"/>
      </w:rPr>
    </w:lvl>
    <w:lvl w:ilvl="3" w:tplc="6F26996A" w:tentative="1">
      <w:start w:val="1"/>
      <w:numFmt w:val="bullet"/>
      <w:lvlText w:val="•"/>
      <w:lvlJc w:val="left"/>
      <w:pPr>
        <w:tabs>
          <w:tab w:val="num" w:pos="2880"/>
        </w:tabs>
        <w:ind w:left="2880" w:hanging="360"/>
      </w:pPr>
      <w:rPr>
        <w:rFonts w:ascii="Arial" w:hAnsi="Arial" w:hint="default"/>
      </w:rPr>
    </w:lvl>
    <w:lvl w:ilvl="4" w:tplc="154097DA" w:tentative="1">
      <w:start w:val="1"/>
      <w:numFmt w:val="bullet"/>
      <w:lvlText w:val="•"/>
      <w:lvlJc w:val="left"/>
      <w:pPr>
        <w:tabs>
          <w:tab w:val="num" w:pos="3600"/>
        </w:tabs>
        <w:ind w:left="3600" w:hanging="360"/>
      </w:pPr>
      <w:rPr>
        <w:rFonts w:ascii="Arial" w:hAnsi="Arial" w:hint="default"/>
      </w:rPr>
    </w:lvl>
    <w:lvl w:ilvl="5" w:tplc="25CEDC68" w:tentative="1">
      <w:start w:val="1"/>
      <w:numFmt w:val="bullet"/>
      <w:lvlText w:val="•"/>
      <w:lvlJc w:val="left"/>
      <w:pPr>
        <w:tabs>
          <w:tab w:val="num" w:pos="4320"/>
        </w:tabs>
        <w:ind w:left="4320" w:hanging="360"/>
      </w:pPr>
      <w:rPr>
        <w:rFonts w:ascii="Arial" w:hAnsi="Arial" w:hint="default"/>
      </w:rPr>
    </w:lvl>
    <w:lvl w:ilvl="6" w:tplc="32B23F50" w:tentative="1">
      <w:start w:val="1"/>
      <w:numFmt w:val="bullet"/>
      <w:lvlText w:val="•"/>
      <w:lvlJc w:val="left"/>
      <w:pPr>
        <w:tabs>
          <w:tab w:val="num" w:pos="5040"/>
        </w:tabs>
        <w:ind w:left="5040" w:hanging="360"/>
      </w:pPr>
      <w:rPr>
        <w:rFonts w:ascii="Arial" w:hAnsi="Arial" w:hint="default"/>
      </w:rPr>
    </w:lvl>
    <w:lvl w:ilvl="7" w:tplc="68FC2626" w:tentative="1">
      <w:start w:val="1"/>
      <w:numFmt w:val="bullet"/>
      <w:lvlText w:val="•"/>
      <w:lvlJc w:val="left"/>
      <w:pPr>
        <w:tabs>
          <w:tab w:val="num" w:pos="5760"/>
        </w:tabs>
        <w:ind w:left="5760" w:hanging="360"/>
      </w:pPr>
      <w:rPr>
        <w:rFonts w:ascii="Arial" w:hAnsi="Arial" w:hint="default"/>
      </w:rPr>
    </w:lvl>
    <w:lvl w:ilvl="8" w:tplc="D87A4D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075C6F"/>
    <w:multiLevelType w:val="hybridMultilevel"/>
    <w:tmpl w:val="CF4E9D08"/>
    <w:lvl w:ilvl="0" w:tplc="E3DC35C0">
      <w:start w:val="1"/>
      <w:numFmt w:val="bullet"/>
      <w:lvlText w:val="•"/>
      <w:lvlJc w:val="left"/>
      <w:pPr>
        <w:tabs>
          <w:tab w:val="num" w:pos="720"/>
        </w:tabs>
        <w:ind w:left="720" w:hanging="360"/>
      </w:pPr>
      <w:rPr>
        <w:rFonts w:ascii="Arial" w:hAnsi="Arial" w:hint="default"/>
      </w:rPr>
    </w:lvl>
    <w:lvl w:ilvl="1" w:tplc="673A931E" w:tentative="1">
      <w:start w:val="1"/>
      <w:numFmt w:val="bullet"/>
      <w:lvlText w:val="•"/>
      <w:lvlJc w:val="left"/>
      <w:pPr>
        <w:tabs>
          <w:tab w:val="num" w:pos="1440"/>
        </w:tabs>
        <w:ind w:left="1440" w:hanging="360"/>
      </w:pPr>
      <w:rPr>
        <w:rFonts w:ascii="Arial" w:hAnsi="Arial" w:hint="default"/>
      </w:rPr>
    </w:lvl>
    <w:lvl w:ilvl="2" w:tplc="70A270D6" w:tentative="1">
      <w:start w:val="1"/>
      <w:numFmt w:val="bullet"/>
      <w:lvlText w:val="•"/>
      <w:lvlJc w:val="left"/>
      <w:pPr>
        <w:tabs>
          <w:tab w:val="num" w:pos="2160"/>
        </w:tabs>
        <w:ind w:left="2160" w:hanging="360"/>
      </w:pPr>
      <w:rPr>
        <w:rFonts w:ascii="Arial" w:hAnsi="Arial" w:hint="default"/>
      </w:rPr>
    </w:lvl>
    <w:lvl w:ilvl="3" w:tplc="3B3CF354" w:tentative="1">
      <w:start w:val="1"/>
      <w:numFmt w:val="bullet"/>
      <w:lvlText w:val="•"/>
      <w:lvlJc w:val="left"/>
      <w:pPr>
        <w:tabs>
          <w:tab w:val="num" w:pos="2880"/>
        </w:tabs>
        <w:ind w:left="2880" w:hanging="360"/>
      </w:pPr>
      <w:rPr>
        <w:rFonts w:ascii="Arial" w:hAnsi="Arial" w:hint="default"/>
      </w:rPr>
    </w:lvl>
    <w:lvl w:ilvl="4" w:tplc="8FBC816E" w:tentative="1">
      <w:start w:val="1"/>
      <w:numFmt w:val="bullet"/>
      <w:lvlText w:val="•"/>
      <w:lvlJc w:val="left"/>
      <w:pPr>
        <w:tabs>
          <w:tab w:val="num" w:pos="3600"/>
        </w:tabs>
        <w:ind w:left="3600" w:hanging="360"/>
      </w:pPr>
      <w:rPr>
        <w:rFonts w:ascii="Arial" w:hAnsi="Arial" w:hint="default"/>
      </w:rPr>
    </w:lvl>
    <w:lvl w:ilvl="5" w:tplc="C772ED92" w:tentative="1">
      <w:start w:val="1"/>
      <w:numFmt w:val="bullet"/>
      <w:lvlText w:val="•"/>
      <w:lvlJc w:val="left"/>
      <w:pPr>
        <w:tabs>
          <w:tab w:val="num" w:pos="4320"/>
        </w:tabs>
        <w:ind w:left="4320" w:hanging="360"/>
      </w:pPr>
      <w:rPr>
        <w:rFonts w:ascii="Arial" w:hAnsi="Arial" w:hint="default"/>
      </w:rPr>
    </w:lvl>
    <w:lvl w:ilvl="6" w:tplc="91AAA224" w:tentative="1">
      <w:start w:val="1"/>
      <w:numFmt w:val="bullet"/>
      <w:lvlText w:val="•"/>
      <w:lvlJc w:val="left"/>
      <w:pPr>
        <w:tabs>
          <w:tab w:val="num" w:pos="5040"/>
        </w:tabs>
        <w:ind w:left="5040" w:hanging="360"/>
      </w:pPr>
      <w:rPr>
        <w:rFonts w:ascii="Arial" w:hAnsi="Arial" w:hint="default"/>
      </w:rPr>
    </w:lvl>
    <w:lvl w:ilvl="7" w:tplc="DB3051F4" w:tentative="1">
      <w:start w:val="1"/>
      <w:numFmt w:val="bullet"/>
      <w:lvlText w:val="•"/>
      <w:lvlJc w:val="left"/>
      <w:pPr>
        <w:tabs>
          <w:tab w:val="num" w:pos="5760"/>
        </w:tabs>
        <w:ind w:left="5760" w:hanging="360"/>
      </w:pPr>
      <w:rPr>
        <w:rFonts w:ascii="Arial" w:hAnsi="Arial" w:hint="default"/>
      </w:rPr>
    </w:lvl>
    <w:lvl w:ilvl="8" w:tplc="75C216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8E570B"/>
    <w:multiLevelType w:val="hybridMultilevel"/>
    <w:tmpl w:val="09FC427A"/>
    <w:lvl w:ilvl="0" w:tplc="C6928132">
      <w:start w:val="1"/>
      <w:numFmt w:val="bullet"/>
      <w:lvlText w:val="•"/>
      <w:lvlJc w:val="left"/>
      <w:pPr>
        <w:tabs>
          <w:tab w:val="num" w:pos="720"/>
        </w:tabs>
        <w:ind w:left="720" w:hanging="360"/>
      </w:pPr>
      <w:rPr>
        <w:rFonts w:ascii="Arial" w:hAnsi="Arial" w:hint="default"/>
      </w:rPr>
    </w:lvl>
    <w:lvl w:ilvl="1" w:tplc="CFDCCA82" w:tentative="1">
      <w:start w:val="1"/>
      <w:numFmt w:val="bullet"/>
      <w:lvlText w:val="•"/>
      <w:lvlJc w:val="left"/>
      <w:pPr>
        <w:tabs>
          <w:tab w:val="num" w:pos="1440"/>
        </w:tabs>
        <w:ind w:left="1440" w:hanging="360"/>
      </w:pPr>
      <w:rPr>
        <w:rFonts w:ascii="Arial" w:hAnsi="Arial" w:hint="default"/>
      </w:rPr>
    </w:lvl>
    <w:lvl w:ilvl="2" w:tplc="81D410C2" w:tentative="1">
      <w:start w:val="1"/>
      <w:numFmt w:val="bullet"/>
      <w:lvlText w:val="•"/>
      <w:lvlJc w:val="left"/>
      <w:pPr>
        <w:tabs>
          <w:tab w:val="num" w:pos="2160"/>
        </w:tabs>
        <w:ind w:left="2160" w:hanging="360"/>
      </w:pPr>
      <w:rPr>
        <w:rFonts w:ascii="Arial" w:hAnsi="Arial" w:hint="default"/>
      </w:rPr>
    </w:lvl>
    <w:lvl w:ilvl="3" w:tplc="3DDA5B7C" w:tentative="1">
      <w:start w:val="1"/>
      <w:numFmt w:val="bullet"/>
      <w:lvlText w:val="•"/>
      <w:lvlJc w:val="left"/>
      <w:pPr>
        <w:tabs>
          <w:tab w:val="num" w:pos="2880"/>
        </w:tabs>
        <w:ind w:left="2880" w:hanging="360"/>
      </w:pPr>
      <w:rPr>
        <w:rFonts w:ascii="Arial" w:hAnsi="Arial" w:hint="default"/>
      </w:rPr>
    </w:lvl>
    <w:lvl w:ilvl="4" w:tplc="FBBACFD6" w:tentative="1">
      <w:start w:val="1"/>
      <w:numFmt w:val="bullet"/>
      <w:lvlText w:val="•"/>
      <w:lvlJc w:val="left"/>
      <w:pPr>
        <w:tabs>
          <w:tab w:val="num" w:pos="3600"/>
        </w:tabs>
        <w:ind w:left="3600" w:hanging="360"/>
      </w:pPr>
      <w:rPr>
        <w:rFonts w:ascii="Arial" w:hAnsi="Arial" w:hint="default"/>
      </w:rPr>
    </w:lvl>
    <w:lvl w:ilvl="5" w:tplc="DCFC58C8" w:tentative="1">
      <w:start w:val="1"/>
      <w:numFmt w:val="bullet"/>
      <w:lvlText w:val="•"/>
      <w:lvlJc w:val="left"/>
      <w:pPr>
        <w:tabs>
          <w:tab w:val="num" w:pos="4320"/>
        </w:tabs>
        <w:ind w:left="4320" w:hanging="360"/>
      </w:pPr>
      <w:rPr>
        <w:rFonts w:ascii="Arial" w:hAnsi="Arial" w:hint="default"/>
      </w:rPr>
    </w:lvl>
    <w:lvl w:ilvl="6" w:tplc="65A4A730" w:tentative="1">
      <w:start w:val="1"/>
      <w:numFmt w:val="bullet"/>
      <w:lvlText w:val="•"/>
      <w:lvlJc w:val="left"/>
      <w:pPr>
        <w:tabs>
          <w:tab w:val="num" w:pos="5040"/>
        </w:tabs>
        <w:ind w:left="5040" w:hanging="360"/>
      </w:pPr>
      <w:rPr>
        <w:rFonts w:ascii="Arial" w:hAnsi="Arial" w:hint="default"/>
      </w:rPr>
    </w:lvl>
    <w:lvl w:ilvl="7" w:tplc="8B62B342" w:tentative="1">
      <w:start w:val="1"/>
      <w:numFmt w:val="bullet"/>
      <w:lvlText w:val="•"/>
      <w:lvlJc w:val="left"/>
      <w:pPr>
        <w:tabs>
          <w:tab w:val="num" w:pos="5760"/>
        </w:tabs>
        <w:ind w:left="5760" w:hanging="360"/>
      </w:pPr>
      <w:rPr>
        <w:rFonts w:ascii="Arial" w:hAnsi="Arial" w:hint="default"/>
      </w:rPr>
    </w:lvl>
    <w:lvl w:ilvl="8" w:tplc="8C7C025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730E51"/>
    <w:multiLevelType w:val="hybridMultilevel"/>
    <w:tmpl w:val="F07EB080"/>
    <w:lvl w:ilvl="0" w:tplc="A6B05FB2">
      <w:start w:val="1"/>
      <w:numFmt w:val="bullet"/>
      <w:lvlText w:val="•"/>
      <w:lvlJc w:val="left"/>
      <w:pPr>
        <w:tabs>
          <w:tab w:val="num" w:pos="720"/>
        </w:tabs>
        <w:ind w:left="720" w:hanging="360"/>
      </w:pPr>
      <w:rPr>
        <w:rFonts w:ascii="Arial" w:hAnsi="Arial" w:hint="default"/>
      </w:rPr>
    </w:lvl>
    <w:lvl w:ilvl="1" w:tplc="C95C7342" w:tentative="1">
      <w:start w:val="1"/>
      <w:numFmt w:val="bullet"/>
      <w:lvlText w:val="•"/>
      <w:lvlJc w:val="left"/>
      <w:pPr>
        <w:tabs>
          <w:tab w:val="num" w:pos="1440"/>
        </w:tabs>
        <w:ind w:left="1440" w:hanging="360"/>
      </w:pPr>
      <w:rPr>
        <w:rFonts w:ascii="Arial" w:hAnsi="Arial" w:hint="default"/>
      </w:rPr>
    </w:lvl>
    <w:lvl w:ilvl="2" w:tplc="4B36CD5C" w:tentative="1">
      <w:start w:val="1"/>
      <w:numFmt w:val="bullet"/>
      <w:lvlText w:val="•"/>
      <w:lvlJc w:val="left"/>
      <w:pPr>
        <w:tabs>
          <w:tab w:val="num" w:pos="2160"/>
        </w:tabs>
        <w:ind w:left="2160" w:hanging="360"/>
      </w:pPr>
      <w:rPr>
        <w:rFonts w:ascii="Arial" w:hAnsi="Arial" w:hint="default"/>
      </w:rPr>
    </w:lvl>
    <w:lvl w:ilvl="3" w:tplc="EC88D936" w:tentative="1">
      <w:start w:val="1"/>
      <w:numFmt w:val="bullet"/>
      <w:lvlText w:val="•"/>
      <w:lvlJc w:val="left"/>
      <w:pPr>
        <w:tabs>
          <w:tab w:val="num" w:pos="2880"/>
        </w:tabs>
        <w:ind w:left="2880" w:hanging="360"/>
      </w:pPr>
      <w:rPr>
        <w:rFonts w:ascii="Arial" w:hAnsi="Arial" w:hint="default"/>
      </w:rPr>
    </w:lvl>
    <w:lvl w:ilvl="4" w:tplc="73526C8A" w:tentative="1">
      <w:start w:val="1"/>
      <w:numFmt w:val="bullet"/>
      <w:lvlText w:val="•"/>
      <w:lvlJc w:val="left"/>
      <w:pPr>
        <w:tabs>
          <w:tab w:val="num" w:pos="3600"/>
        </w:tabs>
        <w:ind w:left="3600" w:hanging="360"/>
      </w:pPr>
      <w:rPr>
        <w:rFonts w:ascii="Arial" w:hAnsi="Arial" w:hint="default"/>
      </w:rPr>
    </w:lvl>
    <w:lvl w:ilvl="5" w:tplc="7A2EBAE8" w:tentative="1">
      <w:start w:val="1"/>
      <w:numFmt w:val="bullet"/>
      <w:lvlText w:val="•"/>
      <w:lvlJc w:val="left"/>
      <w:pPr>
        <w:tabs>
          <w:tab w:val="num" w:pos="4320"/>
        </w:tabs>
        <w:ind w:left="4320" w:hanging="360"/>
      </w:pPr>
      <w:rPr>
        <w:rFonts w:ascii="Arial" w:hAnsi="Arial" w:hint="default"/>
      </w:rPr>
    </w:lvl>
    <w:lvl w:ilvl="6" w:tplc="E088647E" w:tentative="1">
      <w:start w:val="1"/>
      <w:numFmt w:val="bullet"/>
      <w:lvlText w:val="•"/>
      <w:lvlJc w:val="left"/>
      <w:pPr>
        <w:tabs>
          <w:tab w:val="num" w:pos="5040"/>
        </w:tabs>
        <w:ind w:left="5040" w:hanging="360"/>
      </w:pPr>
      <w:rPr>
        <w:rFonts w:ascii="Arial" w:hAnsi="Arial" w:hint="default"/>
      </w:rPr>
    </w:lvl>
    <w:lvl w:ilvl="7" w:tplc="AC5CCA5E" w:tentative="1">
      <w:start w:val="1"/>
      <w:numFmt w:val="bullet"/>
      <w:lvlText w:val="•"/>
      <w:lvlJc w:val="left"/>
      <w:pPr>
        <w:tabs>
          <w:tab w:val="num" w:pos="5760"/>
        </w:tabs>
        <w:ind w:left="5760" w:hanging="360"/>
      </w:pPr>
      <w:rPr>
        <w:rFonts w:ascii="Arial" w:hAnsi="Arial" w:hint="default"/>
      </w:rPr>
    </w:lvl>
    <w:lvl w:ilvl="8" w:tplc="1F50BF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973BC3"/>
    <w:multiLevelType w:val="hybridMultilevel"/>
    <w:tmpl w:val="B55035A6"/>
    <w:lvl w:ilvl="0" w:tplc="78B68322">
      <w:start w:val="1"/>
      <w:numFmt w:val="bullet"/>
      <w:lvlText w:val=""/>
      <w:lvlJc w:val="left"/>
      <w:pPr>
        <w:ind w:left="720" w:hanging="360"/>
      </w:pPr>
      <w:rPr>
        <w:rFonts w:ascii="Symbol" w:hAnsi="Symbol"/>
      </w:rPr>
    </w:lvl>
    <w:lvl w:ilvl="1" w:tplc="417CC520">
      <w:start w:val="1"/>
      <w:numFmt w:val="bullet"/>
      <w:lvlText w:val=""/>
      <w:lvlJc w:val="left"/>
      <w:pPr>
        <w:ind w:left="720" w:hanging="360"/>
      </w:pPr>
      <w:rPr>
        <w:rFonts w:ascii="Symbol" w:hAnsi="Symbol"/>
      </w:rPr>
    </w:lvl>
    <w:lvl w:ilvl="2" w:tplc="E3000264">
      <w:start w:val="1"/>
      <w:numFmt w:val="bullet"/>
      <w:lvlText w:val=""/>
      <w:lvlJc w:val="left"/>
      <w:pPr>
        <w:ind w:left="720" w:hanging="360"/>
      </w:pPr>
      <w:rPr>
        <w:rFonts w:ascii="Symbol" w:hAnsi="Symbol"/>
      </w:rPr>
    </w:lvl>
    <w:lvl w:ilvl="3" w:tplc="19DEDE68">
      <w:start w:val="1"/>
      <w:numFmt w:val="bullet"/>
      <w:lvlText w:val=""/>
      <w:lvlJc w:val="left"/>
      <w:pPr>
        <w:ind w:left="720" w:hanging="360"/>
      </w:pPr>
      <w:rPr>
        <w:rFonts w:ascii="Symbol" w:hAnsi="Symbol"/>
      </w:rPr>
    </w:lvl>
    <w:lvl w:ilvl="4" w:tplc="E1785E10">
      <w:start w:val="1"/>
      <w:numFmt w:val="bullet"/>
      <w:lvlText w:val=""/>
      <w:lvlJc w:val="left"/>
      <w:pPr>
        <w:ind w:left="720" w:hanging="360"/>
      </w:pPr>
      <w:rPr>
        <w:rFonts w:ascii="Symbol" w:hAnsi="Symbol"/>
      </w:rPr>
    </w:lvl>
    <w:lvl w:ilvl="5" w:tplc="FDB261BE">
      <w:start w:val="1"/>
      <w:numFmt w:val="bullet"/>
      <w:lvlText w:val=""/>
      <w:lvlJc w:val="left"/>
      <w:pPr>
        <w:ind w:left="720" w:hanging="360"/>
      </w:pPr>
      <w:rPr>
        <w:rFonts w:ascii="Symbol" w:hAnsi="Symbol"/>
      </w:rPr>
    </w:lvl>
    <w:lvl w:ilvl="6" w:tplc="461AB254">
      <w:start w:val="1"/>
      <w:numFmt w:val="bullet"/>
      <w:lvlText w:val=""/>
      <w:lvlJc w:val="left"/>
      <w:pPr>
        <w:ind w:left="720" w:hanging="360"/>
      </w:pPr>
      <w:rPr>
        <w:rFonts w:ascii="Symbol" w:hAnsi="Symbol"/>
      </w:rPr>
    </w:lvl>
    <w:lvl w:ilvl="7" w:tplc="E294D34C">
      <w:start w:val="1"/>
      <w:numFmt w:val="bullet"/>
      <w:lvlText w:val=""/>
      <w:lvlJc w:val="left"/>
      <w:pPr>
        <w:ind w:left="720" w:hanging="360"/>
      </w:pPr>
      <w:rPr>
        <w:rFonts w:ascii="Symbol" w:hAnsi="Symbol"/>
      </w:rPr>
    </w:lvl>
    <w:lvl w:ilvl="8" w:tplc="86A8436C">
      <w:start w:val="1"/>
      <w:numFmt w:val="bullet"/>
      <w:lvlText w:val=""/>
      <w:lvlJc w:val="left"/>
      <w:pPr>
        <w:ind w:left="720" w:hanging="360"/>
      </w:pPr>
      <w:rPr>
        <w:rFonts w:ascii="Symbol" w:hAnsi="Symbol"/>
      </w:rPr>
    </w:lvl>
  </w:abstractNum>
  <w:abstractNum w:abstractNumId="11" w15:restartNumberingAfterBreak="0">
    <w:nsid w:val="34501FFB"/>
    <w:multiLevelType w:val="hybridMultilevel"/>
    <w:tmpl w:val="5BB467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416D7"/>
    <w:multiLevelType w:val="hybridMultilevel"/>
    <w:tmpl w:val="B630ECCC"/>
    <w:lvl w:ilvl="0" w:tplc="CF9C24CE">
      <w:start w:val="1"/>
      <w:numFmt w:val="bullet"/>
      <w:lvlText w:val="•"/>
      <w:lvlJc w:val="left"/>
      <w:pPr>
        <w:tabs>
          <w:tab w:val="num" w:pos="720"/>
        </w:tabs>
        <w:ind w:left="720" w:hanging="360"/>
      </w:pPr>
      <w:rPr>
        <w:rFonts w:ascii="Arial" w:hAnsi="Arial" w:hint="default"/>
      </w:rPr>
    </w:lvl>
    <w:lvl w:ilvl="1" w:tplc="447E2796" w:tentative="1">
      <w:start w:val="1"/>
      <w:numFmt w:val="bullet"/>
      <w:lvlText w:val="•"/>
      <w:lvlJc w:val="left"/>
      <w:pPr>
        <w:tabs>
          <w:tab w:val="num" w:pos="1440"/>
        </w:tabs>
        <w:ind w:left="1440" w:hanging="360"/>
      </w:pPr>
      <w:rPr>
        <w:rFonts w:ascii="Arial" w:hAnsi="Arial" w:hint="default"/>
      </w:rPr>
    </w:lvl>
    <w:lvl w:ilvl="2" w:tplc="2F286FD4" w:tentative="1">
      <w:start w:val="1"/>
      <w:numFmt w:val="bullet"/>
      <w:lvlText w:val="•"/>
      <w:lvlJc w:val="left"/>
      <w:pPr>
        <w:tabs>
          <w:tab w:val="num" w:pos="2160"/>
        </w:tabs>
        <w:ind w:left="2160" w:hanging="360"/>
      </w:pPr>
      <w:rPr>
        <w:rFonts w:ascii="Arial" w:hAnsi="Arial" w:hint="default"/>
      </w:rPr>
    </w:lvl>
    <w:lvl w:ilvl="3" w:tplc="B4BC179A" w:tentative="1">
      <w:start w:val="1"/>
      <w:numFmt w:val="bullet"/>
      <w:lvlText w:val="•"/>
      <w:lvlJc w:val="left"/>
      <w:pPr>
        <w:tabs>
          <w:tab w:val="num" w:pos="2880"/>
        </w:tabs>
        <w:ind w:left="2880" w:hanging="360"/>
      </w:pPr>
      <w:rPr>
        <w:rFonts w:ascii="Arial" w:hAnsi="Arial" w:hint="default"/>
      </w:rPr>
    </w:lvl>
    <w:lvl w:ilvl="4" w:tplc="C888B7E4" w:tentative="1">
      <w:start w:val="1"/>
      <w:numFmt w:val="bullet"/>
      <w:lvlText w:val="•"/>
      <w:lvlJc w:val="left"/>
      <w:pPr>
        <w:tabs>
          <w:tab w:val="num" w:pos="3600"/>
        </w:tabs>
        <w:ind w:left="3600" w:hanging="360"/>
      </w:pPr>
      <w:rPr>
        <w:rFonts w:ascii="Arial" w:hAnsi="Arial" w:hint="default"/>
      </w:rPr>
    </w:lvl>
    <w:lvl w:ilvl="5" w:tplc="19FE9CF4" w:tentative="1">
      <w:start w:val="1"/>
      <w:numFmt w:val="bullet"/>
      <w:lvlText w:val="•"/>
      <w:lvlJc w:val="left"/>
      <w:pPr>
        <w:tabs>
          <w:tab w:val="num" w:pos="4320"/>
        </w:tabs>
        <w:ind w:left="4320" w:hanging="360"/>
      </w:pPr>
      <w:rPr>
        <w:rFonts w:ascii="Arial" w:hAnsi="Arial" w:hint="default"/>
      </w:rPr>
    </w:lvl>
    <w:lvl w:ilvl="6" w:tplc="BC1044A4" w:tentative="1">
      <w:start w:val="1"/>
      <w:numFmt w:val="bullet"/>
      <w:lvlText w:val="•"/>
      <w:lvlJc w:val="left"/>
      <w:pPr>
        <w:tabs>
          <w:tab w:val="num" w:pos="5040"/>
        </w:tabs>
        <w:ind w:left="5040" w:hanging="360"/>
      </w:pPr>
      <w:rPr>
        <w:rFonts w:ascii="Arial" w:hAnsi="Arial" w:hint="default"/>
      </w:rPr>
    </w:lvl>
    <w:lvl w:ilvl="7" w:tplc="C5781BA4" w:tentative="1">
      <w:start w:val="1"/>
      <w:numFmt w:val="bullet"/>
      <w:lvlText w:val="•"/>
      <w:lvlJc w:val="left"/>
      <w:pPr>
        <w:tabs>
          <w:tab w:val="num" w:pos="5760"/>
        </w:tabs>
        <w:ind w:left="5760" w:hanging="360"/>
      </w:pPr>
      <w:rPr>
        <w:rFonts w:ascii="Arial" w:hAnsi="Arial" w:hint="default"/>
      </w:rPr>
    </w:lvl>
    <w:lvl w:ilvl="8" w:tplc="EA74EC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D22C16"/>
    <w:multiLevelType w:val="hybridMultilevel"/>
    <w:tmpl w:val="1F9C0A4E"/>
    <w:lvl w:ilvl="0" w:tplc="FC3E91AC">
      <w:start w:val="1"/>
      <w:numFmt w:val="lowerLetter"/>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4" w15:restartNumberingAfterBreak="0">
    <w:nsid w:val="37C1276C"/>
    <w:multiLevelType w:val="hybridMultilevel"/>
    <w:tmpl w:val="3FD8C64A"/>
    <w:lvl w:ilvl="0" w:tplc="B5F63B76">
      <w:start w:val="1"/>
      <w:numFmt w:val="bullet"/>
      <w:lvlText w:val=""/>
      <w:lvlJc w:val="left"/>
      <w:pPr>
        <w:ind w:left="720" w:hanging="360"/>
      </w:pPr>
      <w:rPr>
        <w:rFonts w:ascii="Symbol" w:hAnsi="Symbol"/>
      </w:rPr>
    </w:lvl>
    <w:lvl w:ilvl="1" w:tplc="AC7809CE">
      <w:start w:val="1"/>
      <w:numFmt w:val="bullet"/>
      <w:lvlText w:val=""/>
      <w:lvlJc w:val="left"/>
      <w:pPr>
        <w:ind w:left="720" w:hanging="360"/>
      </w:pPr>
      <w:rPr>
        <w:rFonts w:ascii="Symbol" w:hAnsi="Symbol"/>
      </w:rPr>
    </w:lvl>
    <w:lvl w:ilvl="2" w:tplc="A40629FC">
      <w:start w:val="1"/>
      <w:numFmt w:val="bullet"/>
      <w:lvlText w:val=""/>
      <w:lvlJc w:val="left"/>
      <w:pPr>
        <w:ind w:left="720" w:hanging="360"/>
      </w:pPr>
      <w:rPr>
        <w:rFonts w:ascii="Symbol" w:hAnsi="Symbol"/>
      </w:rPr>
    </w:lvl>
    <w:lvl w:ilvl="3" w:tplc="05E435C4">
      <w:start w:val="1"/>
      <w:numFmt w:val="bullet"/>
      <w:lvlText w:val=""/>
      <w:lvlJc w:val="left"/>
      <w:pPr>
        <w:ind w:left="720" w:hanging="360"/>
      </w:pPr>
      <w:rPr>
        <w:rFonts w:ascii="Symbol" w:hAnsi="Symbol"/>
      </w:rPr>
    </w:lvl>
    <w:lvl w:ilvl="4" w:tplc="17AC6EE2">
      <w:start w:val="1"/>
      <w:numFmt w:val="bullet"/>
      <w:lvlText w:val=""/>
      <w:lvlJc w:val="left"/>
      <w:pPr>
        <w:ind w:left="720" w:hanging="360"/>
      </w:pPr>
      <w:rPr>
        <w:rFonts w:ascii="Symbol" w:hAnsi="Symbol"/>
      </w:rPr>
    </w:lvl>
    <w:lvl w:ilvl="5" w:tplc="328A4AA4">
      <w:start w:val="1"/>
      <w:numFmt w:val="bullet"/>
      <w:lvlText w:val=""/>
      <w:lvlJc w:val="left"/>
      <w:pPr>
        <w:ind w:left="720" w:hanging="360"/>
      </w:pPr>
      <w:rPr>
        <w:rFonts w:ascii="Symbol" w:hAnsi="Symbol"/>
      </w:rPr>
    </w:lvl>
    <w:lvl w:ilvl="6" w:tplc="D708D016">
      <w:start w:val="1"/>
      <w:numFmt w:val="bullet"/>
      <w:lvlText w:val=""/>
      <w:lvlJc w:val="left"/>
      <w:pPr>
        <w:ind w:left="720" w:hanging="360"/>
      </w:pPr>
      <w:rPr>
        <w:rFonts w:ascii="Symbol" w:hAnsi="Symbol"/>
      </w:rPr>
    </w:lvl>
    <w:lvl w:ilvl="7" w:tplc="96AE31CE">
      <w:start w:val="1"/>
      <w:numFmt w:val="bullet"/>
      <w:lvlText w:val=""/>
      <w:lvlJc w:val="left"/>
      <w:pPr>
        <w:ind w:left="720" w:hanging="360"/>
      </w:pPr>
      <w:rPr>
        <w:rFonts w:ascii="Symbol" w:hAnsi="Symbol"/>
      </w:rPr>
    </w:lvl>
    <w:lvl w:ilvl="8" w:tplc="FCD64DDC">
      <w:start w:val="1"/>
      <w:numFmt w:val="bullet"/>
      <w:lvlText w:val=""/>
      <w:lvlJc w:val="left"/>
      <w:pPr>
        <w:ind w:left="720" w:hanging="360"/>
      </w:pPr>
      <w:rPr>
        <w:rFonts w:ascii="Symbol" w:hAnsi="Symbol"/>
      </w:rPr>
    </w:lvl>
  </w:abstractNum>
  <w:abstractNum w:abstractNumId="15" w15:restartNumberingAfterBreak="0">
    <w:nsid w:val="3DA76BF2"/>
    <w:multiLevelType w:val="hybridMultilevel"/>
    <w:tmpl w:val="54D6F264"/>
    <w:lvl w:ilvl="0" w:tplc="81E4AC16">
      <w:start w:val="1"/>
      <w:numFmt w:val="lowerLetter"/>
      <w:lvlText w:val="%1)"/>
      <w:lvlJc w:val="left"/>
      <w:pPr>
        <w:ind w:left="720" w:hanging="360"/>
      </w:pPr>
      <w:rPr>
        <w:rFonts w:hint="default"/>
        <w:b/>
        <w:color w:val="5C5C5C"/>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B16453"/>
    <w:multiLevelType w:val="multilevel"/>
    <w:tmpl w:val="CAFEFCA6"/>
    <w:styleLink w:val="ECBBoxListNumber"/>
    <w:lvl w:ilvl="0">
      <w:start w:val="1"/>
      <w:numFmt w:val="decimal"/>
      <w:pStyle w:val="Box-ListNumber1"/>
      <w:lvlText w:val="%1."/>
      <w:lvlJc w:val="left"/>
      <w:pPr>
        <w:tabs>
          <w:tab w:val="num" w:pos="-2070"/>
        </w:tabs>
        <w:ind w:left="-2070" w:hanging="425"/>
      </w:pPr>
      <w:rPr>
        <w:rFonts w:hint="default"/>
      </w:rPr>
    </w:lvl>
    <w:lvl w:ilvl="1">
      <w:start w:val="1"/>
      <w:numFmt w:val="lowerLetter"/>
      <w:pStyle w:val="Box-ListNumber2"/>
      <w:lvlText w:val="(%2)"/>
      <w:lvlJc w:val="left"/>
      <w:pPr>
        <w:tabs>
          <w:tab w:val="num" w:pos="-1645"/>
        </w:tabs>
        <w:ind w:left="-1645" w:hanging="425"/>
      </w:pPr>
      <w:rPr>
        <w:rFonts w:hint="default"/>
      </w:rPr>
    </w:lvl>
    <w:lvl w:ilvl="2">
      <w:start w:val="1"/>
      <w:numFmt w:val="lowerRoman"/>
      <w:lvlText w:val="%3)"/>
      <w:lvlJc w:val="left"/>
      <w:pPr>
        <w:tabs>
          <w:tab w:val="num" w:pos="-1220"/>
        </w:tabs>
        <w:ind w:left="-1220" w:hanging="425"/>
      </w:pPr>
      <w:rPr>
        <w:rFonts w:hint="default"/>
      </w:rPr>
    </w:lvl>
    <w:lvl w:ilvl="3">
      <w:start w:val="1"/>
      <w:numFmt w:val="decimal"/>
      <w:lvlText w:val="(%4)"/>
      <w:lvlJc w:val="left"/>
      <w:pPr>
        <w:tabs>
          <w:tab w:val="num" w:pos="-795"/>
        </w:tabs>
        <w:ind w:left="-795" w:hanging="425"/>
      </w:pPr>
      <w:rPr>
        <w:rFonts w:hint="default"/>
      </w:rPr>
    </w:lvl>
    <w:lvl w:ilvl="4">
      <w:start w:val="1"/>
      <w:numFmt w:val="lowerLetter"/>
      <w:lvlText w:val="(%5)"/>
      <w:lvlJc w:val="left"/>
      <w:pPr>
        <w:tabs>
          <w:tab w:val="num" w:pos="-370"/>
        </w:tabs>
        <w:ind w:left="-370" w:hanging="425"/>
      </w:pPr>
      <w:rPr>
        <w:rFonts w:hint="default"/>
      </w:rPr>
    </w:lvl>
    <w:lvl w:ilvl="5">
      <w:start w:val="1"/>
      <w:numFmt w:val="lowerRoman"/>
      <w:lvlText w:val="(%6)"/>
      <w:lvlJc w:val="left"/>
      <w:pPr>
        <w:tabs>
          <w:tab w:val="num" w:pos="55"/>
        </w:tabs>
        <w:ind w:left="55" w:hanging="425"/>
      </w:pPr>
      <w:rPr>
        <w:rFonts w:hint="default"/>
      </w:rPr>
    </w:lvl>
    <w:lvl w:ilvl="6">
      <w:start w:val="1"/>
      <w:numFmt w:val="decimal"/>
      <w:lvlText w:val="%7."/>
      <w:lvlJc w:val="left"/>
      <w:pPr>
        <w:tabs>
          <w:tab w:val="num" w:pos="480"/>
        </w:tabs>
        <w:ind w:left="480" w:hanging="425"/>
      </w:pPr>
      <w:rPr>
        <w:rFonts w:hint="default"/>
      </w:rPr>
    </w:lvl>
    <w:lvl w:ilvl="7">
      <w:start w:val="1"/>
      <w:numFmt w:val="lowerLetter"/>
      <w:lvlText w:val="%8."/>
      <w:lvlJc w:val="left"/>
      <w:pPr>
        <w:tabs>
          <w:tab w:val="num" w:pos="905"/>
        </w:tabs>
        <w:ind w:left="905" w:hanging="425"/>
      </w:pPr>
      <w:rPr>
        <w:rFonts w:hint="default"/>
      </w:rPr>
    </w:lvl>
    <w:lvl w:ilvl="8">
      <w:start w:val="1"/>
      <w:numFmt w:val="lowerRoman"/>
      <w:lvlText w:val="%9."/>
      <w:lvlJc w:val="left"/>
      <w:pPr>
        <w:tabs>
          <w:tab w:val="num" w:pos="1330"/>
        </w:tabs>
        <w:ind w:left="1330" w:hanging="425"/>
      </w:pPr>
      <w:rPr>
        <w:rFonts w:hint="default"/>
      </w:rPr>
    </w:lvl>
  </w:abstractNum>
  <w:abstractNum w:abstractNumId="17" w15:restartNumberingAfterBreak="0">
    <w:nsid w:val="3E544B66"/>
    <w:multiLevelType w:val="hybridMultilevel"/>
    <w:tmpl w:val="A1FE210A"/>
    <w:lvl w:ilvl="0" w:tplc="25E42794">
      <w:numFmt w:val="bullet"/>
      <w:lvlText w:val="-"/>
      <w:lvlJc w:val="left"/>
      <w:pPr>
        <w:ind w:left="-2135" w:hanging="360"/>
      </w:pPr>
      <w:rPr>
        <w:rFonts w:ascii="Arial" w:eastAsia="Times New Roman" w:hAnsi="Arial" w:cs="Arial" w:hint="default"/>
        <w:b/>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695" w:hanging="360"/>
      </w:pPr>
      <w:rPr>
        <w:rFonts w:ascii="Wingdings" w:hAnsi="Wingdings" w:hint="default"/>
      </w:rPr>
    </w:lvl>
    <w:lvl w:ilvl="3" w:tplc="08090001" w:tentative="1">
      <w:start w:val="1"/>
      <w:numFmt w:val="bullet"/>
      <w:lvlText w:val=""/>
      <w:lvlJc w:val="left"/>
      <w:pPr>
        <w:ind w:left="25" w:hanging="360"/>
      </w:pPr>
      <w:rPr>
        <w:rFonts w:ascii="Symbol" w:hAnsi="Symbol" w:hint="default"/>
      </w:rPr>
    </w:lvl>
    <w:lvl w:ilvl="4" w:tplc="08090003" w:tentative="1">
      <w:start w:val="1"/>
      <w:numFmt w:val="bullet"/>
      <w:lvlText w:val="o"/>
      <w:lvlJc w:val="left"/>
      <w:pPr>
        <w:ind w:left="745" w:hanging="360"/>
      </w:pPr>
      <w:rPr>
        <w:rFonts w:ascii="Courier New" w:hAnsi="Courier New" w:cs="Courier New" w:hint="default"/>
      </w:rPr>
    </w:lvl>
    <w:lvl w:ilvl="5" w:tplc="08090005" w:tentative="1">
      <w:start w:val="1"/>
      <w:numFmt w:val="bullet"/>
      <w:lvlText w:val=""/>
      <w:lvlJc w:val="left"/>
      <w:pPr>
        <w:ind w:left="1465" w:hanging="360"/>
      </w:pPr>
      <w:rPr>
        <w:rFonts w:ascii="Wingdings" w:hAnsi="Wingdings" w:hint="default"/>
      </w:rPr>
    </w:lvl>
    <w:lvl w:ilvl="6" w:tplc="08090001" w:tentative="1">
      <w:start w:val="1"/>
      <w:numFmt w:val="bullet"/>
      <w:lvlText w:val=""/>
      <w:lvlJc w:val="left"/>
      <w:pPr>
        <w:ind w:left="2185" w:hanging="360"/>
      </w:pPr>
      <w:rPr>
        <w:rFonts w:ascii="Symbol" w:hAnsi="Symbol" w:hint="default"/>
      </w:rPr>
    </w:lvl>
    <w:lvl w:ilvl="7" w:tplc="08090003" w:tentative="1">
      <w:start w:val="1"/>
      <w:numFmt w:val="bullet"/>
      <w:lvlText w:val="o"/>
      <w:lvlJc w:val="left"/>
      <w:pPr>
        <w:ind w:left="2905" w:hanging="360"/>
      </w:pPr>
      <w:rPr>
        <w:rFonts w:ascii="Courier New" w:hAnsi="Courier New" w:cs="Courier New" w:hint="default"/>
      </w:rPr>
    </w:lvl>
    <w:lvl w:ilvl="8" w:tplc="08090005" w:tentative="1">
      <w:start w:val="1"/>
      <w:numFmt w:val="bullet"/>
      <w:lvlText w:val=""/>
      <w:lvlJc w:val="left"/>
      <w:pPr>
        <w:ind w:left="3625" w:hanging="360"/>
      </w:pPr>
      <w:rPr>
        <w:rFonts w:ascii="Wingdings" w:hAnsi="Wingdings" w:hint="default"/>
      </w:rPr>
    </w:lvl>
  </w:abstractNum>
  <w:abstractNum w:abstractNumId="18" w15:restartNumberingAfterBreak="0">
    <w:nsid w:val="3F640F7A"/>
    <w:multiLevelType w:val="hybridMultilevel"/>
    <w:tmpl w:val="E8D4C27E"/>
    <w:lvl w:ilvl="0" w:tplc="F1304844">
      <w:start w:val="1"/>
      <w:numFmt w:val="bullet"/>
      <w:lvlText w:val="•"/>
      <w:lvlJc w:val="left"/>
      <w:pPr>
        <w:tabs>
          <w:tab w:val="num" w:pos="720"/>
        </w:tabs>
        <w:ind w:left="720" w:hanging="360"/>
      </w:pPr>
      <w:rPr>
        <w:rFonts w:ascii="Arial" w:hAnsi="Arial" w:hint="default"/>
      </w:rPr>
    </w:lvl>
    <w:lvl w:ilvl="1" w:tplc="A89E31B8" w:tentative="1">
      <w:start w:val="1"/>
      <w:numFmt w:val="bullet"/>
      <w:lvlText w:val="•"/>
      <w:lvlJc w:val="left"/>
      <w:pPr>
        <w:tabs>
          <w:tab w:val="num" w:pos="1440"/>
        </w:tabs>
        <w:ind w:left="1440" w:hanging="360"/>
      </w:pPr>
      <w:rPr>
        <w:rFonts w:ascii="Arial" w:hAnsi="Arial" w:hint="default"/>
      </w:rPr>
    </w:lvl>
    <w:lvl w:ilvl="2" w:tplc="D6BEBC76" w:tentative="1">
      <w:start w:val="1"/>
      <w:numFmt w:val="bullet"/>
      <w:lvlText w:val="•"/>
      <w:lvlJc w:val="left"/>
      <w:pPr>
        <w:tabs>
          <w:tab w:val="num" w:pos="2160"/>
        </w:tabs>
        <w:ind w:left="2160" w:hanging="360"/>
      </w:pPr>
      <w:rPr>
        <w:rFonts w:ascii="Arial" w:hAnsi="Arial" w:hint="default"/>
      </w:rPr>
    </w:lvl>
    <w:lvl w:ilvl="3" w:tplc="B14E893C" w:tentative="1">
      <w:start w:val="1"/>
      <w:numFmt w:val="bullet"/>
      <w:lvlText w:val="•"/>
      <w:lvlJc w:val="left"/>
      <w:pPr>
        <w:tabs>
          <w:tab w:val="num" w:pos="2880"/>
        </w:tabs>
        <w:ind w:left="2880" w:hanging="360"/>
      </w:pPr>
      <w:rPr>
        <w:rFonts w:ascii="Arial" w:hAnsi="Arial" w:hint="default"/>
      </w:rPr>
    </w:lvl>
    <w:lvl w:ilvl="4" w:tplc="3306F3CE" w:tentative="1">
      <w:start w:val="1"/>
      <w:numFmt w:val="bullet"/>
      <w:lvlText w:val="•"/>
      <w:lvlJc w:val="left"/>
      <w:pPr>
        <w:tabs>
          <w:tab w:val="num" w:pos="3600"/>
        </w:tabs>
        <w:ind w:left="3600" w:hanging="360"/>
      </w:pPr>
      <w:rPr>
        <w:rFonts w:ascii="Arial" w:hAnsi="Arial" w:hint="default"/>
      </w:rPr>
    </w:lvl>
    <w:lvl w:ilvl="5" w:tplc="B3DEDBF8" w:tentative="1">
      <w:start w:val="1"/>
      <w:numFmt w:val="bullet"/>
      <w:lvlText w:val="•"/>
      <w:lvlJc w:val="left"/>
      <w:pPr>
        <w:tabs>
          <w:tab w:val="num" w:pos="4320"/>
        </w:tabs>
        <w:ind w:left="4320" w:hanging="360"/>
      </w:pPr>
      <w:rPr>
        <w:rFonts w:ascii="Arial" w:hAnsi="Arial" w:hint="default"/>
      </w:rPr>
    </w:lvl>
    <w:lvl w:ilvl="6" w:tplc="3C645176" w:tentative="1">
      <w:start w:val="1"/>
      <w:numFmt w:val="bullet"/>
      <w:lvlText w:val="•"/>
      <w:lvlJc w:val="left"/>
      <w:pPr>
        <w:tabs>
          <w:tab w:val="num" w:pos="5040"/>
        </w:tabs>
        <w:ind w:left="5040" w:hanging="360"/>
      </w:pPr>
      <w:rPr>
        <w:rFonts w:ascii="Arial" w:hAnsi="Arial" w:hint="default"/>
      </w:rPr>
    </w:lvl>
    <w:lvl w:ilvl="7" w:tplc="902C5E2A" w:tentative="1">
      <w:start w:val="1"/>
      <w:numFmt w:val="bullet"/>
      <w:lvlText w:val="•"/>
      <w:lvlJc w:val="left"/>
      <w:pPr>
        <w:tabs>
          <w:tab w:val="num" w:pos="5760"/>
        </w:tabs>
        <w:ind w:left="5760" w:hanging="360"/>
      </w:pPr>
      <w:rPr>
        <w:rFonts w:ascii="Arial" w:hAnsi="Arial" w:hint="default"/>
      </w:rPr>
    </w:lvl>
    <w:lvl w:ilvl="8" w:tplc="EE0E44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5A0025"/>
    <w:multiLevelType w:val="multilevel"/>
    <w:tmpl w:val="BCC429D6"/>
    <w:styleLink w:val="ECBnumberedlist"/>
    <w:lvl w:ilvl="0">
      <w:start w:val="1"/>
      <w:numFmt w:val="decimal"/>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0" w15:restartNumberingAfterBreak="0">
    <w:nsid w:val="43A0014D"/>
    <w:multiLevelType w:val="multilevel"/>
    <w:tmpl w:val="C3563620"/>
    <w:styleLink w:val="ECBBoxBulletlist"/>
    <w:lvl w:ilvl="0">
      <w:start w:val="1"/>
      <w:numFmt w:val="bullet"/>
      <w:pStyle w:val="Box-ListBullet1"/>
      <w:lvlText w:val=""/>
      <w:lvlJc w:val="left"/>
      <w:pPr>
        <w:tabs>
          <w:tab w:val="num" w:pos="-1645"/>
        </w:tabs>
        <w:ind w:left="-1645" w:hanging="425"/>
      </w:pPr>
      <w:rPr>
        <w:rFonts w:ascii="Symbol" w:hAnsi="Symbol" w:hint="default"/>
      </w:rPr>
    </w:lvl>
    <w:lvl w:ilvl="1">
      <w:start w:val="1"/>
      <w:numFmt w:val="bullet"/>
      <w:pStyle w:val="Box-ListBullet2"/>
      <w:lvlText w:val=""/>
      <w:lvlJc w:val="left"/>
      <w:pPr>
        <w:tabs>
          <w:tab w:val="num" w:pos="-1220"/>
        </w:tabs>
        <w:ind w:left="-1220" w:hanging="425"/>
      </w:pPr>
      <w:rPr>
        <w:rFonts w:ascii="Symbol" w:hAnsi="Symbol" w:hint="default"/>
      </w:rPr>
    </w:lvl>
    <w:lvl w:ilvl="2">
      <w:start w:val="1"/>
      <w:numFmt w:val="lowerRoman"/>
      <w:lvlText w:val="%3)"/>
      <w:lvlJc w:val="left"/>
      <w:pPr>
        <w:tabs>
          <w:tab w:val="num" w:pos="-795"/>
        </w:tabs>
        <w:ind w:left="-795" w:hanging="425"/>
      </w:pPr>
      <w:rPr>
        <w:rFonts w:hint="default"/>
      </w:rPr>
    </w:lvl>
    <w:lvl w:ilvl="3">
      <w:start w:val="1"/>
      <w:numFmt w:val="decimal"/>
      <w:lvlText w:val="(%4)"/>
      <w:lvlJc w:val="left"/>
      <w:pPr>
        <w:tabs>
          <w:tab w:val="num" w:pos="-370"/>
        </w:tabs>
        <w:ind w:left="-370" w:hanging="425"/>
      </w:pPr>
      <w:rPr>
        <w:rFonts w:hint="default"/>
      </w:rPr>
    </w:lvl>
    <w:lvl w:ilvl="4">
      <w:start w:val="1"/>
      <w:numFmt w:val="lowerLetter"/>
      <w:lvlText w:val="(%5)"/>
      <w:lvlJc w:val="left"/>
      <w:pPr>
        <w:tabs>
          <w:tab w:val="num" w:pos="55"/>
        </w:tabs>
        <w:ind w:left="55" w:hanging="425"/>
      </w:pPr>
      <w:rPr>
        <w:rFonts w:hint="default"/>
      </w:rPr>
    </w:lvl>
    <w:lvl w:ilvl="5">
      <w:start w:val="1"/>
      <w:numFmt w:val="lowerRoman"/>
      <w:lvlText w:val="(%6)"/>
      <w:lvlJc w:val="left"/>
      <w:pPr>
        <w:tabs>
          <w:tab w:val="num" w:pos="480"/>
        </w:tabs>
        <w:ind w:left="480" w:hanging="425"/>
      </w:pPr>
      <w:rPr>
        <w:rFonts w:hint="default"/>
      </w:rPr>
    </w:lvl>
    <w:lvl w:ilvl="6">
      <w:start w:val="1"/>
      <w:numFmt w:val="decimal"/>
      <w:lvlText w:val="%7."/>
      <w:lvlJc w:val="left"/>
      <w:pPr>
        <w:tabs>
          <w:tab w:val="num" w:pos="905"/>
        </w:tabs>
        <w:ind w:left="905" w:hanging="425"/>
      </w:pPr>
      <w:rPr>
        <w:rFonts w:hint="default"/>
      </w:rPr>
    </w:lvl>
    <w:lvl w:ilvl="7">
      <w:start w:val="1"/>
      <w:numFmt w:val="lowerLetter"/>
      <w:lvlText w:val="%8."/>
      <w:lvlJc w:val="left"/>
      <w:pPr>
        <w:tabs>
          <w:tab w:val="num" w:pos="1330"/>
        </w:tabs>
        <w:ind w:left="1330" w:hanging="425"/>
      </w:pPr>
      <w:rPr>
        <w:rFonts w:hint="default"/>
      </w:rPr>
    </w:lvl>
    <w:lvl w:ilvl="8">
      <w:start w:val="1"/>
      <w:numFmt w:val="lowerRoman"/>
      <w:lvlText w:val="%9."/>
      <w:lvlJc w:val="left"/>
      <w:pPr>
        <w:tabs>
          <w:tab w:val="num" w:pos="1755"/>
        </w:tabs>
        <w:ind w:left="1755" w:hanging="425"/>
      </w:pPr>
      <w:rPr>
        <w:rFonts w:hint="default"/>
      </w:rPr>
    </w:lvl>
  </w:abstractNum>
  <w:abstractNum w:abstractNumId="21" w15:restartNumberingAfterBreak="0">
    <w:nsid w:val="497A187C"/>
    <w:multiLevelType w:val="hybridMultilevel"/>
    <w:tmpl w:val="28FEE3EC"/>
    <w:lvl w:ilvl="0" w:tplc="980438CA">
      <w:start w:val="1"/>
      <w:numFmt w:val="bullet"/>
      <w:lvlText w:val=""/>
      <w:lvlJc w:val="left"/>
      <w:pPr>
        <w:ind w:left="720" w:hanging="360"/>
      </w:pPr>
      <w:rPr>
        <w:rFonts w:ascii="Symbol" w:hAnsi="Symbol"/>
      </w:rPr>
    </w:lvl>
    <w:lvl w:ilvl="1" w:tplc="2D347688">
      <w:start w:val="1"/>
      <w:numFmt w:val="bullet"/>
      <w:lvlText w:val=""/>
      <w:lvlJc w:val="left"/>
      <w:pPr>
        <w:ind w:left="720" w:hanging="360"/>
      </w:pPr>
      <w:rPr>
        <w:rFonts w:ascii="Symbol" w:hAnsi="Symbol"/>
      </w:rPr>
    </w:lvl>
    <w:lvl w:ilvl="2" w:tplc="D6981116">
      <w:start w:val="1"/>
      <w:numFmt w:val="bullet"/>
      <w:lvlText w:val=""/>
      <w:lvlJc w:val="left"/>
      <w:pPr>
        <w:ind w:left="720" w:hanging="360"/>
      </w:pPr>
      <w:rPr>
        <w:rFonts w:ascii="Symbol" w:hAnsi="Symbol"/>
      </w:rPr>
    </w:lvl>
    <w:lvl w:ilvl="3" w:tplc="B7E423F0">
      <w:start w:val="1"/>
      <w:numFmt w:val="bullet"/>
      <w:lvlText w:val=""/>
      <w:lvlJc w:val="left"/>
      <w:pPr>
        <w:ind w:left="720" w:hanging="360"/>
      </w:pPr>
      <w:rPr>
        <w:rFonts w:ascii="Symbol" w:hAnsi="Symbol"/>
      </w:rPr>
    </w:lvl>
    <w:lvl w:ilvl="4" w:tplc="0C5A4F10">
      <w:start w:val="1"/>
      <w:numFmt w:val="bullet"/>
      <w:lvlText w:val=""/>
      <w:lvlJc w:val="left"/>
      <w:pPr>
        <w:ind w:left="720" w:hanging="360"/>
      </w:pPr>
      <w:rPr>
        <w:rFonts w:ascii="Symbol" w:hAnsi="Symbol"/>
      </w:rPr>
    </w:lvl>
    <w:lvl w:ilvl="5" w:tplc="9CA2852A">
      <w:start w:val="1"/>
      <w:numFmt w:val="bullet"/>
      <w:lvlText w:val=""/>
      <w:lvlJc w:val="left"/>
      <w:pPr>
        <w:ind w:left="720" w:hanging="360"/>
      </w:pPr>
      <w:rPr>
        <w:rFonts w:ascii="Symbol" w:hAnsi="Symbol"/>
      </w:rPr>
    </w:lvl>
    <w:lvl w:ilvl="6" w:tplc="12940A4A">
      <w:start w:val="1"/>
      <w:numFmt w:val="bullet"/>
      <w:lvlText w:val=""/>
      <w:lvlJc w:val="left"/>
      <w:pPr>
        <w:ind w:left="720" w:hanging="360"/>
      </w:pPr>
      <w:rPr>
        <w:rFonts w:ascii="Symbol" w:hAnsi="Symbol"/>
      </w:rPr>
    </w:lvl>
    <w:lvl w:ilvl="7" w:tplc="18909FAE">
      <w:start w:val="1"/>
      <w:numFmt w:val="bullet"/>
      <w:lvlText w:val=""/>
      <w:lvlJc w:val="left"/>
      <w:pPr>
        <w:ind w:left="720" w:hanging="360"/>
      </w:pPr>
      <w:rPr>
        <w:rFonts w:ascii="Symbol" w:hAnsi="Symbol"/>
      </w:rPr>
    </w:lvl>
    <w:lvl w:ilvl="8" w:tplc="68F02174">
      <w:start w:val="1"/>
      <w:numFmt w:val="bullet"/>
      <w:lvlText w:val=""/>
      <w:lvlJc w:val="left"/>
      <w:pPr>
        <w:ind w:left="720" w:hanging="360"/>
      </w:pPr>
      <w:rPr>
        <w:rFonts w:ascii="Symbol" w:hAnsi="Symbol"/>
      </w:rPr>
    </w:lvl>
  </w:abstractNum>
  <w:abstractNum w:abstractNumId="22" w15:restartNumberingAfterBreak="0">
    <w:nsid w:val="4AF9035D"/>
    <w:multiLevelType w:val="hybridMultilevel"/>
    <w:tmpl w:val="B9962A74"/>
    <w:lvl w:ilvl="0" w:tplc="429256AE">
      <w:start w:val="1"/>
      <w:numFmt w:val="lowerLetter"/>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3" w15:restartNumberingAfterBreak="0">
    <w:nsid w:val="4FC44A4D"/>
    <w:multiLevelType w:val="hybridMultilevel"/>
    <w:tmpl w:val="50183EC8"/>
    <w:lvl w:ilvl="0" w:tplc="E5D49DEA">
      <w:start w:val="1"/>
      <w:numFmt w:val="bullet"/>
      <w:lvlText w:val=""/>
      <w:lvlJc w:val="left"/>
      <w:pPr>
        <w:ind w:left="720" w:hanging="360"/>
      </w:pPr>
      <w:rPr>
        <w:rFonts w:ascii="Symbol" w:hAnsi="Symbol"/>
      </w:rPr>
    </w:lvl>
    <w:lvl w:ilvl="1" w:tplc="C908C7CA">
      <w:start w:val="1"/>
      <w:numFmt w:val="bullet"/>
      <w:lvlText w:val=""/>
      <w:lvlJc w:val="left"/>
      <w:pPr>
        <w:ind w:left="720" w:hanging="360"/>
      </w:pPr>
      <w:rPr>
        <w:rFonts w:ascii="Symbol" w:hAnsi="Symbol"/>
      </w:rPr>
    </w:lvl>
    <w:lvl w:ilvl="2" w:tplc="441E7DFA">
      <w:start w:val="1"/>
      <w:numFmt w:val="bullet"/>
      <w:lvlText w:val=""/>
      <w:lvlJc w:val="left"/>
      <w:pPr>
        <w:ind w:left="720" w:hanging="360"/>
      </w:pPr>
      <w:rPr>
        <w:rFonts w:ascii="Symbol" w:hAnsi="Symbol"/>
      </w:rPr>
    </w:lvl>
    <w:lvl w:ilvl="3" w:tplc="6EEE0B5A">
      <w:start w:val="1"/>
      <w:numFmt w:val="bullet"/>
      <w:lvlText w:val=""/>
      <w:lvlJc w:val="left"/>
      <w:pPr>
        <w:ind w:left="720" w:hanging="360"/>
      </w:pPr>
      <w:rPr>
        <w:rFonts w:ascii="Symbol" w:hAnsi="Symbol"/>
      </w:rPr>
    </w:lvl>
    <w:lvl w:ilvl="4" w:tplc="E47AA2C4">
      <w:start w:val="1"/>
      <w:numFmt w:val="bullet"/>
      <w:lvlText w:val=""/>
      <w:lvlJc w:val="left"/>
      <w:pPr>
        <w:ind w:left="720" w:hanging="360"/>
      </w:pPr>
      <w:rPr>
        <w:rFonts w:ascii="Symbol" w:hAnsi="Symbol"/>
      </w:rPr>
    </w:lvl>
    <w:lvl w:ilvl="5" w:tplc="E4320C68">
      <w:start w:val="1"/>
      <w:numFmt w:val="bullet"/>
      <w:lvlText w:val=""/>
      <w:lvlJc w:val="left"/>
      <w:pPr>
        <w:ind w:left="720" w:hanging="360"/>
      </w:pPr>
      <w:rPr>
        <w:rFonts w:ascii="Symbol" w:hAnsi="Symbol"/>
      </w:rPr>
    </w:lvl>
    <w:lvl w:ilvl="6" w:tplc="3EC47A58">
      <w:start w:val="1"/>
      <w:numFmt w:val="bullet"/>
      <w:lvlText w:val=""/>
      <w:lvlJc w:val="left"/>
      <w:pPr>
        <w:ind w:left="720" w:hanging="360"/>
      </w:pPr>
      <w:rPr>
        <w:rFonts w:ascii="Symbol" w:hAnsi="Symbol"/>
      </w:rPr>
    </w:lvl>
    <w:lvl w:ilvl="7" w:tplc="E1144564">
      <w:start w:val="1"/>
      <w:numFmt w:val="bullet"/>
      <w:lvlText w:val=""/>
      <w:lvlJc w:val="left"/>
      <w:pPr>
        <w:ind w:left="720" w:hanging="360"/>
      </w:pPr>
      <w:rPr>
        <w:rFonts w:ascii="Symbol" w:hAnsi="Symbol"/>
      </w:rPr>
    </w:lvl>
    <w:lvl w:ilvl="8" w:tplc="A2FE7B58">
      <w:start w:val="1"/>
      <w:numFmt w:val="bullet"/>
      <w:lvlText w:val=""/>
      <w:lvlJc w:val="left"/>
      <w:pPr>
        <w:ind w:left="720" w:hanging="360"/>
      </w:pPr>
      <w:rPr>
        <w:rFonts w:ascii="Symbol" w:hAnsi="Symbol"/>
      </w:rPr>
    </w:lvl>
  </w:abstractNum>
  <w:abstractNum w:abstractNumId="24" w15:restartNumberingAfterBreak="0">
    <w:nsid w:val="532630C3"/>
    <w:multiLevelType w:val="hybridMultilevel"/>
    <w:tmpl w:val="AA562768"/>
    <w:lvl w:ilvl="0" w:tplc="362214B2">
      <w:start w:val="1"/>
      <w:numFmt w:val="bullet"/>
      <w:lvlText w:val="•"/>
      <w:lvlJc w:val="left"/>
      <w:pPr>
        <w:tabs>
          <w:tab w:val="num" w:pos="720"/>
        </w:tabs>
        <w:ind w:left="720" w:hanging="360"/>
      </w:pPr>
      <w:rPr>
        <w:rFonts w:ascii="Arial" w:hAnsi="Arial" w:hint="default"/>
      </w:rPr>
    </w:lvl>
    <w:lvl w:ilvl="1" w:tplc="64187004" w:tentative="1">
      <w:start w:val="1"/>
      <w:numFmt w:val="bullet"/>
      <w:lvlText w:val="•"/>
      <w:lvlJc w:val="left"/>
      <w:pPr>
        <w:tabs>
          <w:tab w:val="num" w:pos="1440"/>
        </w:tabs>
        <w:ind w:left="1440" w:hanging="360"/>
      </w:pPr>
      <w:rPr>
        <w:rFonts w:ascii="Arial" w:hAnsi="Arial" w:hint="default"/>
      </w:rPr>
    </w:lvl>
    <w:lvl w:ilvl="2" w:tplc="E4481A3C" w:tentative="1">
      <w:start w:val="1"/>
      <w:numFmt w:val="bullet"/>
      <w:lvlText w:val="•"/>
      <w:lvlJc w:val="left"/>
      <w:pPr>
        <w:tabs>
          <w:tab w:val="num" w:pos="2160"/>
        </w:tabs>
        <w:ind w:left="2160" w:hanging="360"/>
      </w:pPr>
      <w:rPr>
        <w:rFonts w:ascii="Arial" w:hAnsi="Arial" w:hint="default"/>
      </w:rPr>
    </w:lvl>
    <w:lvl w:ilvl="3" w:tplc="F4FE34AC" w:tentative="1">
      <w:start w:val="1"/>
      <w:numFmt w:val="bullet"/>
      <w:lvlText w:val="•"/>
      <w:lvlJc w:val="left"/>
      <w:pPr>
        <w:tabs>
          <w:tab w:val="num" w:pos="2880"/>
        </w:tabs>
        <w:ind w:left="2880" w:hanging="360"/>
      </w:pPr>
      <w:rPr>
        <w:rFonts w:ascii="Arial" w:hAnsi="Arial" w:hint="default"/>
      </w:rPr>
    </w:lvl>
    <w:lvl w:ilvl="4" w:tplc="2A9CF436" w:tentative="1">
      <w:start w:val="1"/>
      <w:numFmt w:val="bullet"/>
      <w:lvlText w:val="•"/>
      <w:lvlJc w:val="left"/>
      <w:pPr>
        <w:tabs>
          <w:tab w:val="num" w:pos="3600"/>
        </w:tabs>
        <w:ind w:left="3600" w:hanging="360"/>
      </w:pPr>
      <w:rPr>
        <w:rFonts w:ascii="Arial" w:hAnsi="Arial" w:hint="default"/>
      </w:rPr>
    </w:lvl>
    <w:lvl w:ilvl="5" w:tplc="735C1CE6" w:tentative="1">
      <w:start w:val="1"/>
      <w:numFmt w:val="bullet"/>
      <w:lvlText w:val="•"/>
      <w:lvlJc w:val="left"/>
      <w:pPr>
        <w:tabs>
          <w:tab w:val="num" w:pos="4320"/>
        </w:tabs>
        <w:ind w:left="4320" w:hanging="360"/>
      </w:pPr>
      <w:rPr>
        <w:rFonts w:ascii="Arial" w:hAnsi="Arial" w:hint="default"/>
      </w:rPr>
    </w:lvl>
    <w:lvl w:ilvl="6" w:tplc="137CD542" w:tentative="1">
      <w:start w:val="1"/>
      <w:numFmt w:val="bullet"/>
      <w:lvlText w:val="•"/>
      <w:lvlJc w:val="left"/>
      <w:pPr>
        <w:tabs>
          <w:tab w:val="num" w:pos="5040"/>
        </w:tabs>
        <w:ind w:left="5040" w:hanging="360"/>
      </w:pPr>
      <w:rPr>
        <w:rFonts w:ascii="Arial" w:hAnsi="Arial" w:hint="default"/>
      </w:rPr>
    </w:lvl>
    <w:lvl w:ilvl="7" w:tplc="E4FE6F52" w:tentative="1">
      <w:start w:val="1"/>
      <w:numFmt w:val="bullet"/>
      <w:lvlText w:val="•"/>
      <w:lvlJc w:val="left"/>
      <w:pPr>
        <w:tabs>
          <w:tab w:val="num" w:pos="5760"/>
        </w:tabs>
        <w:ind w:left="5760" w:hanging="360"/>
      </w:pPr>
      <w:rPr>
        <w:rFonts w:ascii="Arial" w:hAnsi="Arial" w:hint="default"/>
      </w:rPr>
    </w:lvl>
    <w:lvl w:ilvl="8" w:tplc="F9E434F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1502F3"/>
    <w:multiLevelType w:val="multilevel"/>
    <w:tmpl w:val="7A044ACE"/>
    <w:styleLink w:val="ECBBulletlist"/>
    <w:lvl w:ilvl="0">
      <w:start w:val="1"/>
      <w:numFmt w:val="bullet"/>
      <w:pStyle w:val="ListBullet"/>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Symbol" w:hAnsi="Symbol" w:hint="default"/>
        <w:color w:val="auto"/>
      </w:rPr>
    </w:lvl>
    <w:lvl w:ilvl="2">
      <w:start w:val="1"/>
      <w:numFmt w:val="bullet"/>
      <w:pStyle w:val="ListBullet3"/>
      <w:lvlText w:val=""/>
      <w:lvlJc w:val="left"/>
      <w:pPr>
        <w:tabs>
          <w:tab w:val="num" w:pos="1275"/>
        </w:tabs>
        <w:ind w:left="1275" w:hanging="425"/>
      </w:pPr>
      <w:rPr>
        <w:rFonts w:ascii="Symbol" w:hAnsi="Symbol" w:hint="default"/>
        <w:color w:val="auto"/>
      </w:rPr>
    </w:lvl>
    <w:lvl w:ilvl="3">
      <w:start w:val="1"/>
      <w:numFmt w:val="bullet"/>
      <w:lvlText w:val=""/>
      <w:lvlJc w:val="left"/>
      <w:pPr>
        <w:tabs>
          <w:tab w:val="num" w:pos="1700"/>
        </w:tabs>
        <w:ind w:left="1700" w:hanging="425"/>
      </w:pPr>
      <w:rPr>
        <w:rFonts w:ascii="Symbol" w:hAnsi="Symbol" w:hint="default"/>
      </w:rPr>
    </w:lvl>
    <w:lvl w:ilvl="4">
      <w:start w:val="1"/>
      <w:numFmt w:val="bullet"/>
      <w:lvlText w:val="o"/>
      <w:lvlJc w:val="left"/>
      <w:pPr>
        <w:tabs>
          <w:tab w:val="num" w:pos="2125"/>
        </w:tabs>
        <w:ind w:left="2125" w:hanging="425"/>
      </w:pPr>
      <w:rPr>
        <w:rFonts w:ascii="Courier New" w:hAnsi="Courier New" w:cs="Courier New" w:hint="default"/>
      </w:rPr>
    </w:lvl>
    <w:lvl w:ilvl="5">
      <w:start w:val="1"/>
      <w:numFmt w:val="bullet"/>
      <w:lvlText w:val=""/>
      <w:lvlJc w:val="left"/>
      <w:pPr>
        <w:tabs>
          <w:tab w:val="num" w:pos="2550"/>
        </w:tabs>
        <w:ind w:left="2550" w:hanging="425"/>
      </w:pPr>
      <w:rPr>
        <w:rFonts w:ascii="Wingdings" w:hAnsi="Wingdings" w:hint="default"/>
      </w:rPr>
    </w:lvl>
    <w:lvl w:ilvl="6">
      <w:start w:val="1"/>
      <w:numFmt w:val="bullet"/>
      <w:lvlText w:val=""/>
      <w:lvlJc w:val="left"/>
      <w:pPr>
        <w:tabs>
          <w:tab w:val="num" w:pos="2975"/>
        </w:tabs>
        <w:ind w:left="2975" w:hanging="425"/>
      </w:pPr>
      <w:rPr>
        <w:rFonts w:ascii="Symbol" w:hAnsi="Symbol" w:hint="default"/>
      </w:rPr>
    </w:lvl>
    <w:lvl w:ilvl="7">
      <w:start w:val="1"/>
      <w:numFmt w:val="bullet"/>
      <w:lvlText w:val="o"/>
      <w:lvlJc w:val="left"/>
      <w:pPr>
        <w:tabs>
          <w:tab w:val="num" w:pos="3400"/>
        </w:tabs>
        <w:ind w:left="3400" w:hanging="425"/>
      </w:pPr>
      <w:rPr>
        <w:rFonts w:ascii="Courier New" w:hAnsi="Courier New" w:cs="Courier New" w:hint="default"/>
      </w:rPr>
    </w:lvl>
    <w:lvl w:ilvl="8">
      <w:start w:val="1"/>
      <w:numFmt w:val="bullet"/>
      <w:lvlText w:val=""/>
      <w:lvlJc w:val="left"/>
      <w:pPr>
        <w:tabs>
          <w:tab w:val="num" w:pos="3825"/>
        </w:tabs>
        <w:ind w:left="3825" w:hanging="425"/>
      </w:pPr>
      <w:rPr>
        <w:rFonts w:ascii="Wingdings" w:hAnsi="Wingdings" w:hint="default"/>
      </w:rPr>
    </w:lvl>
  </w:abstractNum>
  <w:abstractNum w:abstractNumId="26" w15:restartNumberingAfterBreak="0">
    <w:nsid w:val="58BA0FCE"/>
    <w:multiLevelType w:val="hybridMultilevel"/>
    <w:tmpl w:val="3C086A1A"/>
    <w:lvl w:ilvl="0" w:tplc="F8324A92">
      <w:start w:val="2"/>
      <w:numFmt w:val="bullet"/>
      <w:lvlText w:val="-"/>
      <w:lvlJc w:val="left"/>
      <w:pPr>
        <w:ind w:left="388" w:hanging="360"/>
      </w:pPr>
      <w:rPr>
        <w:rFonts w:ascii="Arial" w:eastAsiaTheme="minorEastAsia" w:hAnsi="Arial" w:cs="Aria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7" w15:restartNumberingAfterBreak="0">
    <w:nsid w:val="5ACF126B"/>
    <w:multiLevelType w:val="hybridMultilevel"/>
    <w:tmpl w:val="5D66A8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7A6D18"/>
    <w:multiLevelType w:val="hybridMultilevel"/>
    <w:tmpl w:val="F76EF21A"/>
    <w:lvl w:ilvl="0" w:tplc="7756A720">
      <w:start w:val="1"/>
      <w:numFmt w:val="bullet"/>
      <w:lvlText w:val="•"/>
      <w:lvlJc w:val="left"/>
      <w:pPr>
        <w:tabs>
          <w:tab w:val="num" w:pos="720"/>
        </w:tabs>
        <w:ind w:left="720" w:hanging="360"/>
      </w:pPr>
      <w:rPr>
        <w:rFonts w:ascii="Arial" w:hAnsi="Arial" w:hint="default"/>
      </w:rPr>
    </w:lvl>
    <w:lvl w:ilvl="1" w:tplc="035ACB28" w:tentative="1">
      <w:start w:val="1"/>
      <w:numFmt w:val="bullet"/>
      <w:lvlText w:val="•"/>
      <w:lvlJc w:val="left"/>
      <w:pPr>
        <w:tabs>
          <w:tab w:val="num" w:pos="1440"/>
        </w:tabs>
        <w:ind w:left="1440" w:hanging="360"/>
      </w:pPr>
      <w:rPr>
        <w:rFonts w:ascii="Arial" w:hAnsi="Arial" w:hint="default"/>
      </w:rPr>
    </w:lvl>
    <w:lvl w:ilvl="2" w:tplc="5CD24E0C" w:tentative="1">
      <w:start w:val="1"/>
      <w:numFmt w:val="bullet"/>
      <w:lvlText w:val="•"/>
      <w:lvlJc w:val="left"/>
      <w:pPr>
        <w:tabs>
          <w:tab w:val="num" w:pos="2160"/>
        </w:tabs>
        <w:ind w:left="2160" w:hanging="360"/>
      </w:pPr>
      <w:rPr>
        <w:rFonts w:ascii="Arial" w:hAnsi="Arial" w:hint="default"/>
      </w:rPr>
    </w:lvl>
    <w:lvl w:ilvl="3" w:tplc="ADF8AED0" w:tentative="1">
      <w:start w:val="1"/>
      <w:numFmt w:val="bullet"/>
      <w:lvlText w:val="•"/>
      <w:lvlJc w:val="left"/>
      <w:pPr>
        <w:tabs>
          <w:tab w:val="num" w:pos="2880"/>
        </w:tabs>
        <w:ind w:left="2880" w:hanging="360"/>
      </w:pPr>
      <w:rPr>
        <w:rFonts w:ascii="Arial" w:hAnsi="Arial" w:hint="default"/>
      </w:rPr>
    </w:lvl>
    <w:lvl w:ilvl="4" w:tplc="F3942298" w:tentative="1">
      <w:start w:val="1"/>
      <w:numFmt w:val="bullet"/>
      <w:lvlText w:val="•"/>
      <w:lvlJc w:val="left"/>
      <w:pPr>
        <w:tabs>
          <w:tab w:val="num" w:pos="3600"/>
        </w:tabs>
        <w:ind w:left="3600" w:hanging="360"/>
      </w:pPr>
      <w:rPr>
        <w:rFonts w:ascii="Arial" w:hAnsi="Arial" w:hint="default"/>
      </w:rPr>
    </w:lvl>
    <w:lvl w:ilvl="5" w:tplc="842ADD06" w:tentative="1">
      <w:start w:val="1"/>
      <w:numFmt w:val="bullet"/>
      <w:lvlText w:val="•"/>
      <w:lvlJc w:val="left"/>
      <w:pPr>
        <w:tabs>
          <w:tab w:val="num" w:pos="4320"/>
        </w:tabs>
        <w:ind w:left="4320" w:hanging="360"/>
      </w:pPr>
      <w:rPr>
        <w:rFonts w:ascii="Arial" w:hAnsi="Arial" w:hint="default"/>
      </w:rPr>
    </w:lvl>
    <w:lvl w:ilvl="6" w:tplc="DD8AB75E" w:tentative="1">
      <w:start w:val="1"/>
      <w:numFmt w:val="bullet"/>
      <w:lvlText w:val="•"/>
      <w:lvlJc w:val="left"/>
      <w:pPr>
        <w:tabs>
          <w:tab w:val="num" w:pos="5040"/>
        </w:tabs>
        <w:ind w:left="5040" w:hanging="360"/>
      </w:pPr>
      <w:rPr>
        <w:rFonts w:ascii="Arial" w:hAnsi="Arial" w:hint="default"/>
      </w:rPr>
    </w:lvl>
    <w:lvl w:ilvl="7" w:tplc="3B14C5AE" w:tentative="1">
      <w:start w:val="1"/>
      <w:numFmt w:val="bullet"/>
      <w:lvlText w:val="•"/>
      <w:lvlJc w:val="left"/>
      <w:pPr>
        <w:tabs>
          <w:tab w:val="num" w:pos="5760"/>
        </w:tabs>
        <w:ind w:left="5760" w:hanging="360"/>
      </w:pPr>
      <w:rPr>
        <w:rFonts w:ascii="Arial" w:hAnsi="Arial" w:hint="default"/>
      </w:rPr>
    </w:lvl>
    <w:lvl w:ilvl="8" w:tplc="4DE852C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19B2FC1"/>
    <w:multiLevelType w:val="hybridMultilevel"/>
    <w:tmpl w:val="06EE1548"/>
    <w:lvl w:ilvl="0" w:tplc="17C65986">
      <w:start w:val="1"/>
      <w:numFmt w:val="decimal"/>
      <w:lvlText w:val="%1)"/>
      <w:lvlJc w:val="left"/>
      <w:pPr>
        <w:ind w:left="-2135" w:hanging="360"/>
      </w:pPr>
      <w:rPr>
        <w:rFonts w:hint="default"/>
      </w:rPr>
    </w:lvl>
    <w:lvl w:ilvl="1" w:tplc="08090019" w:tentative="1">
      <w:start w:val="1"/>
      <w:numFmt w:val="lowerLetter"/>
      <w:lvlText w:val="%2."/>
      <w:lvlJc w:val="left"/>
      <w:pPr>
        <w:ind w:left="-1415" w:hanging="360"/>
      </w:pPr>
    </w:lvl>
    <w:lvl w:ilvl="2" w:tplc="0809001B" w:tentative="1">
      <w:start w:val="1"/>
      <w:numFmt w:val="lowerRoman"/>
      <w:lvlText w:val="%3."/>
      <w:lvlJc w:val="right"/>
      <w:pPr>
        <w:ind w:left="-695" w:hanging="180"/>
      </w:pPr>
    </w:lvl>
    <w:lvl w:ilvl="3" w:tplc="0809000F" w:tentative="1">
      <w:start w:val="1"/>
      <w:numFmt w:val="decimal"/>
      <w:lvlText w:val="%4."/>
      <w:lvlJc w:val="left"/>
      <w:pPr>
        <w:ind w:left="25" w:hanging="360"/>
      </w:pPr>
    </w:lvl>
    <w:lvl w:ilvl="4" w:tplc="08090019" w:tentative="1">
      <w:start w:val="1"/>
      <w:numFmt w:val="lowerLetter"/>
      <w:lvlText w:val="%5."/>
      <w:lvlJc w:val="left"/>
      <w:pPr>
        <w:ind w:left="745" w:hanging="360"/>
      </w:pPr>
    </w:lvl>
    <w:lvl w:ilvl="5" w:tplc="0809001B" w:tentative="1">
      <w:start w:val="1"/>
      <w:numFmt w:val="lowerRoman"/>
      <w:lvlText w:val="%6."/>
      <w:lvlJc w:val="right"/>
      <w:pPr>
        <w:ind w:left="1465" w:hanging="180"/>
      </w:pPr>
    </w:lvl>
    <w:lvl w:ilvl="6" w:tplc="0809000F" w:tentative="1">
      <w:start w:val="1"/>
      <w:numFmt w:val="decimal"/>
      <w:lvlText w:val="%7."/>
      <w:lvlJc w:val="left"/>
      <w:pPr>
        <w:ind w:left="2185" w:hanging="360"/>
      </w:pPr>
    </w:lvl>
    <w:lvl w:ilvl="7" w:tplc="08090019" w:tentative="1">
      <w:start w:val="1"/>
      <w:numFmt w:val="lowerLetter"/>
      <w:lvlText w:val="%8."/>
      <w:lvlJc w:val="left"/>
      <w:pPr>
        <w:ind w:left="2905" w:hanging="360"/>
      </w:pPr>
    </w:lvl>
    <w:lvl w:ilvl="8" w:tplc="0809001B" w:tentative="1">
      <w:start w:val="1"/>
      <w:numFmt w:val="lowerRoman"/>
      <w:lvlText w:val="%9."/>
      <w:lvlJc w:val="right"/>
      <w:pPr>
        <w:ind w:left="3625" w:hanging="180"/>
      </w:pPr>
    </w:lvl>
  </w:abstractNum>
  <w:abstractNum w:abstractNumId="30" w15:restartNumberingAfterBreak="0">
    <w:nsid w:val="6BA84D7E"/>
    <w:multiLevelType w:val="hybridMultilevel"/>
    <w:tmpl w:val="2B00F2AC"/>
    <w:lvl w:ilvl="0" w:tplc="E346ABD2">
      <w:start w:val="1"/>
      <w:numFmt w:val="lowerLetter"/>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1" w15:restartNumberingAfterBreak="0">
    <w:nsid w:val="71243CC9"/>
    <w:multiLevelType w:val="hybridMultilevel"/>
    <w:tmpl w:val="2DA8DBBA"/>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1C6EE8"/>
    <w:multiLevelType w:val="hybridMultilevel"/>
    <w:tmpl w:val="396EC41C"/>
    <w:lvl w:ilvl="0" w:tplc="08090001">
      <w:start w:val="1"/>
      <w:numFmt w:val="bullet"/>
      <w:lvlText w:val=""/>
      <w:lvlJc w:val="left"/>
      <w:pPr>
        <w:ind w:left="-1775" w:hanging="360"/>
      </w:pPr>
      <w:rPr>
        <w:rFonts w:ascii="Symbol" w:hAnsi="Symbol" w:hint="default"/>
      </w:rPr>
    </w:lvl>
    <w:lvl w:ilvl="1" w:tplc="08090003" w:tentative="1">
      <w:start w:val="1"/>
      <w:numFmt w:val="bullet"/>
      <w:lvlText w:val="o"/>
      <w:lvlJc w:val="left"/>
      <w:pPr>
        <w:ind w:left="-1055" w:hanging="360"/>
      </w:pPr>
      <w:rPr>
        <w:rFonts w:ascii="Courier New" w:hAnsi="Courier New" w:cs="Courier New" w:hint="default"/>
      </w:rPr>
    </w:lvl>
    <w:lvl w:ilvl="2" w:tplc="08090005" w:tentative="1">
      <w:start w:val="1"/>
      <w:numFmt w:val="bullet"/>
      <w:lvlText w:val=""/>
      <w:lvlJc w:val="left"/>
      <w:pPr>
        <w:ind w:left="-335" w:hanging="360"/>
      </w:pPr>
      <w:rPr>
        <w:rFonts w:ascii="Wingdings" w:hAnsi="Wingdings" w:hint="default"/>
      </w:rPr>
    </w:lvl>
    <w:lvl w:ilvl="3" w:tplc="08090001" w:tentative="1">
      <w:start w:val="1"/>
      <w:numFmt w:val="bullet"/>
      <w:lvlText w:val=""/>
      <w:lvlJc w:val="left"/>
      <w:pPr>
        <w:ind w:left="385" w:hanging="360"/>
      </w:pPr>
      <w:rPr>
        <w:rFonts w:ascii="Symbol" w:hAnsi="Symbol" w:hint="default"/>
      </w:rPr>
    </w:lvl>
    <w:lvl w:ilvl="4" w:tplc="08090003" w:tentative="1">
      <w:start w:val="1"/>
      <w:numFmt w:val="bullet"/>
      <w:lvlText w:val="o"/>
      <w:lvlJc w:val="left"/>
      <w:pPr>
        <w:ind w:left="1105" w:hanging="360"/>
      </w:pPr>
      <w:rPr>
        <w:rFonts w:ascii="Courier New" w:hAnsi="Courier New" w:cs="Courier New" w:hint="default"/>
      </w:rPr>
    </w:lvl>
    <w:lvl w:ilvl="5" w:tplc="08090005" w:tentative="1">
      <w:start w:val="1"/>
      <w:numFmt w:val="bullet"/>
      <w:lvlText w:val=""/>
      <w:lvlJc w:val="left"/>
      <w:pPr>
        <w:ind w:left="1825" w:hanging="360"/>
      </w:pPr>
      <w:rPr>
        <w:rFonts w:ascii="Wingdings" w:hAnsi="Wingdings" w:hint="default"/>
      </w:rPr>
    </w:lvl>
    <w:lvl w:ilvl="6" w:tplc="08090001" w:tentative="1">
      <w:start w:val="1"/>
      <w:numFmt w:val="bullet"/>
      <w:lvlText w:val=""/>
      <w:lvlJc w:val="left"/>
      <w:pPr>
        <w:ind w:left="2545" w:hanging="360"/>
      </w:pPr>
      <w:rPr>
        <w:rFonts w:ascii="Symbol" w:hAnsi="Symbol" w:hint="default"/>
      </w:rPr>
    </w:lvl>
    <w:lvl w:ilvl="7" w:tplc="08090003" w:tentative="1">
      <w:start w:val="1"/>
      <w:numFmt w:val="bullet"/>
      <w:lvlText w:val="o"/>
      <w:lvlJc w:val="left"/>
      <w:pPr>
        <w:ind w:left="3265" w:hanging="360"/>
      </w:pPr>
      <w:rPr>
        <w:rFonts w:ascii="Courier New" w:hAnsi="Courier New" w:cs="Courier New" w:hint="default"/>
      </w:rPr>
    </w:lvl>
    <w:lvl w:ilvl="8" w:tplc="08090005" w:tentative="1">
      <w:start w:val="1"/>
      <w:numFmt w:val="bullet"/>
      <w:lvlText w:val=""/>
      <w:lvlJc w:val="left"/>
      <w:pPr>
        <w:ind w:left="3985" w:hanging="360"/>
      </w:pPr>
      <w:rPr>
        <w:rFonts w:ascii="Wingdings" w:hAnsi="Wingdings" w:hint="default"/>
      </w:rPr>
    </w:lvl>
  </w:abstractNum>
  <w:abstractNum w:abstractNumId="33" w15:restartNumberingAfterBreak="0">
    <w:nsid w:val="76CF30F4"/>
    <w:multiLevelType w:val="hybridMultilevel"/>
    <w:tmpl w:val="119CDDF4"/>
    <w:lvl w:ilvl="0" w:tplc="CB200E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D531C05"/>
    <w:multiLevelType w:val="hybridMultilevel"/>
    <w:tmpl w:val="61E62F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9040350">
    <w:abstractNumId w:val="20"/>
  </w:num>
  <w:num w:numId="2" w16cid:durableId="38408327">
    <w:abstractNumId w:val="16"/>
  </w:num>
  <w:num w:numId="3" w16cid:durableId="1379285636">
    <w:abstractNumId w:val="25"/>
  </w:num>
  <w:num w:numId="4" w16cid:durableId="1711563386">
    <w:abstractNumId w:val="19"/>
  </w:num>
  <w:num w:numId="5" w16cid:durableId="840899418">
    <w:abstractNumId w:val="1"/>
  </w:num>
  <w:num w:numId="6" w16cid:durableId="1616592049">
    <w:abstractNumId w:val="20"/>
  </w:num>
  <w:num w:numId="7" w16cid:durableId="514928796">
    <w:abstractNumId w:val="16"/>
  </w:num>
  <w:num w:numId="8" w16cid:durableId="428816624">
    <w:abstractNumId w:val="1"/>
  </w:num>
  <w:num w:numId="9" w16cid:durableId="1654749580">
    <w:abstractNumId w:val="25"/>
  </w:num>
  <w:num w:numId="10" w16cid:durableId="1604798113">
    <w:abstractNumId w:val="19"/>
  </w:num>
  <w:num w:numId="11" w16cid:durableId="1477842688">
    <w:abstractNumId w:val="7"/>
  </w:num>
  <w:num w:numId="12" w16cid:durableId="1997220670">
    <w:abstractNumId w:val="17"/>
  </w:num>
  <w:num w:numId="13" w16cid:durableId="940451039">
    <w:abstractNumId w:val="0"/>
  </w:num>
  <w:num w:numId="14" w16cid:durableId="973022547">
    <w:abstractNumId w:val="12"/>
  </w:num>
  <w:num w:numId="15" w16cid:durableId="562326675">
    <w:abstractNumId w:val="8"/>
  </w:num>
  <w:num w:numId="16" w16cid:durableId="621300436">
    <w:abstractNumId w:val="2"/>
  </w:num>
  <w:num w:numId="17" w16cid:durableId="1781294416">
    <w:abstractNumId w:val="9"/>
  </w:num>
  <w:num w:numId="18" w16cid:durableId="1884176233">
    <w:abstractNumId w:val="6"/>
  </w:num>
  <w:num w:numId="19" w16cid:durableId="1469546366">
    <w:abstractNumId w:val="24"/>
  </w:num>
  <w:num w:numId="20" w16cid:durableId="1449010824">
    <w:abstractNumId w:val="5"/>
  </w:num>
  <w:num w:numId="21" w16cid:durableId="1735393434">
    <w:abstractNumId w:val="18"/>
  </w:num>
  <w:num w:numId="22" w16cid:durableId="376515355">
    <w:abstractNumId w:val="28"/>
  </w:num>
  <w:num w:numId="23" w16cid:durableId="288754050">
    <w:abstractNumId w:val="3"/>
  </w:num>
  <w:num w:numId="24" w16cid:durableId="1462965319">
    <w:abstractNumId w:val="31"/>
  </w:num>
  <w:num w:numId="25" w16cid:durableId="1458597325">
    <w:abstractNumId w:val="22"/>
  </w:num>
  <w:num w:numId="26" w16cid:durableId="846290736">
    <w:abstractNumId w:val="32"/>
  </w:num>
  <w:num w:numId="27" w16cid:durableId="1956670512">
    <w:abstractNumId w:val="34"/>
  </w:num>
  <w:num w:numId="28" w16cid:durableId="11226548">
    <w:abstractNumId w:val="11"/>
  </w:num>
  <w:num w:numId="29" w16cid:durableId="2066174011">
    <w:abstractNumId w:val="27"/>
  </w:num>
  <w:num w:numId="30" w16cid:durableId="606304450">
    <w:abstractNumId w:val="29"/>
  </w:num>
  <w:num w:numId="31" w16cid:durableId="17617517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75384117">
    <w:abstractNumId w:val="21"/>
  </w:num>
  <w:num w:numId="33" w16cid:durableId="169565480">
    <w:abstractNumId w:val="10"/>
  </w:num>
  <w:num w:numId="34" w16cid:durableId="1231619396">
    <w:abstractNumId w:val="4"/>
  </w:num>
  <w:num w:numId="35" w16cid:durableId="943685240">
    <w:abstractNumId w:val="23"/>
  </w:num>
  <w:num w:numId="36" w16cid:durableId="981270781">
    <w:abstractNumId w:val="14"/>
  </w:num>
  <w:num w:numId="37" w16cid:durableId="2101633512">
    <w:abstractNumId w:val="15"/>
  </w:num>
  <w:num w:numId="38" w16cid:durableId="1948806313">
    <w:abstractNumId w:val="33"/>
  </w:num>
  <w:num w:numId="39" w16cid:durableId="1377705841">
    <w:abstractNumId w:val="30"/>
  </w:num>
  <w:num w:numId="40" w16cid:durableId="1390688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84788030">
    <w:abstractNumId w:val="13"/>
  </w:num>
  <w:num w:numId="42" w16cid:durableId="13165696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60991171">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1" w:cryptProviderType="rsaAES" w:cryptAlgorithmClass="hash" w:cryptAlgorithmType="typeAny" w:cryptAlgorithmSid="14" w:cryptSpinCount="100000" w:hash="/AZmRypCmh0CELjfwYAPoRi7o+188DGiVC8w/bhciFIxjnoawrp+9dx4in9FEf/bsfRhK1YFRGPP98911il0lQ==" w:salt="Z3eeoZY+cObRisj+nOaWSA=="/>
  <w:autoFormatOverride/>
  <w:styleLockTheme/>
  <w:styleLockQFSet/>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1A2CF6"/>
    <w:rsid w:val="000008D1"/>
    <w:rsid w:val="00001443"/>
    <w:rsid w:val="00002F2D"/>
    <w:rsid w:val="00003105"/>
    <w:rsid w:val="00003ED3"/>
    <w:rsid w:val="00004503"/>
    <w:rsid w:val="00004550"/>
    <w:rsid w:val="00004AE4"/>
    <w:rsid w:val="00005B08"/>
    <w:rsid w:val="00006851"/>
    <w:rsid w:val="000073EB"/>
    <w:rsid w:val="00007BEF"/>
    <w:rsid w:val="00007F54"/>
    <w:rsid w:val="00010604"/>
    <w:rsid w:val="00010EA6"/>
    <w:rsid w:val="0001127C"/>
    <w:rsid w:val="000115E9"/>
    <w:rsid w:val="00011F64"/>
    <w:rsid w:val="00012F2F"/>
    <w:rsid w:val="000139D8"/>
    <w:rsid w:val="00013D91"/>
    <w:rsid w:val="00013FE4"/>
    <w:rsid w:val="000143F6"/>
    <w:rsid w:val="00015135"/>
    <w:rsid w:val="00015BBC"/>
    <w:rsid w:val="00015E50"/>
    <w:rsid w:val="00015FC3"/>
    <w:rsid w:val="0001611C"/>
    <w:rsid w:val="000163B8"/>
    <w:rsid w:val="00016A54"/>
    <w:rsid w:val="00016B85"/>
    <w:rsid w:val="00017B2B"/>
    <w:rsid w:val="0002054D"/>
    <w:rsid w:val="000209EA"/>
    <w:rsid w:val="00020C99"/>
    <w:rsid w:val="00021117"/>
    <w:rsid w:val="00021306"/>
    <w:rsid w:val="00021613"/>
    <w:rsid w:val="00021853"/>
    <w:rsid w:val="0002222B"/>
    <w:rsid w:val="00022F77"/>
    <w:rsid w:val="0002307F"/>
    <w:rsid w:val="000255FB"/>
    <w:rsid w:val="0002588B"/>
    <w:rsid w:val="00025D2E"/>
    <w:rsid w:val="000266B9"/>
    <w:rsid w:val="00027E42"/>
    <w:rsid w:val="00030EE8"/>
    <w:rsid w:val="0003149A"/>
    <w:rsid w:val="00031C41"/>
    <w:rsid w:val="00031CB9"/>
    <w:rsid w:val="000327C0"/>
    <w:rsid w:val="000331FF"/>
    <w:rsid w:val="00034D16"/>
    <w:rsid w:val="00035173"/>
    <w:rsid w:val="00035B2A"/>
    <w:rsid w:val="00035E06"/>
    <w:rsid w:val="000365F0"/>
    <w:rsid w:val="00037AD0"/>
    <w:rsid w:val="000406BE"/>
    <w:rsid w:val="000412C8"/>
    <w:rsid w:val="00042F48"/>
    <w:rsid w:val="00043688"/>
    <w:rsid w:val="0004433B"/>
    <w:rsid w:val="00045B51"/>
    <w:rsid w:val="0004649A"/>
    <w:rsid w:val="00046526"/>
    <w:rsid w:val="000468F2"/>
    <w:rsid w:val="00046EF0"/>
    <w:rsid w:val="00047304"/>
    <w:rsid w:val="0005099A"/>
    <w:rsid w:val="000509AE"/>
    <w:rsid w:val="0005108D"/>
    <w:rsid w:val="000527B3"/>
    <w:rsid w:val="00053282"/>
    <w:rsid w:val="00053616"/>
    <w:rsid w:val="00054A60"/>
    <w:rsid w:val="00055C7E"/>
    <w:rsid w:val="0005632E"/>
    <w:rsid w:val="0005690B"/>
    <w:rsid w:val="000604A3"/>
    <w:rsid w:val="00060F17"/>
    <w:rsid w:val="00062ECE"/>
    <w:rsid w:val="000636C0"/>
    <w:rsid w:val="00063F5B"/>
    <w:rsid w:val="00064266"/>
    <w:rsid w:val="00065DFD"/>
    <w:rsid w:val="00067031"/>
    <w:rsid w:val="00067225"/>
    <w:rsid w:val="00067A6F"/>
    <w:rsid w:val="00067FC4"/>
    <w:rsid w:val="000705F2"/>
    <w:rsid w:val="000706A6"/>
    <w:rsid w:val="00070D19"/>
    <w:rsid w:val="00070F81"/>
    <w:rsid w:val="00071431"/>
    <w:rsid w:val="0007207E"/>
    <w:rsid w:val="00072A2C"/>
    <w:rsid w:val="0007463C"/>
    <w:rsid w:val="00074DBD"/>
    <w:rsid w:val="000752F7"/>
    <w:rsid w:val="000757B3"/>
    <w:rsid w:val="00077206"/>
    <w:rsid w:val="00080A1E"/>
    <w:rsid w:val="000816FC"/>
    <w:rsid w:val="00082DC5"/>
    <w:rsid w:val="000839AB"/>
    <w:rsid w:val="00084091"/>
    <w:rsid w:val="0008483A"/>
    <w:rsid w:val="00084C61"/>
    <w:rsid w:val="0008552D"/>
    <w:rsid w:val="00085BF7"/>
    <w:rsid w:val="00086512"/>
    <w:rsid w:val="0008655A"/>
    <w:rsid w:val="0008667D"/>
    <w:rsid w:val="00086A09"/>
    <w:rsid w:val="00087308"/>
    <w:rsid w:val="00087587"/>
    <w:rsid w:val="00087C6F"/>
    <w:rsid w:val="0009081B"/>
    <w:rsid w:val="000909C6"/>
    <w:rsid w:val="000915D9"/>
    <w:rsid w:val="00093769"/>
    <w:rsid w:val="00093A6C"/>
    <w:rsid w:val="00095354"/>
    <w:rsid w:val="0009560A"/>
    <w:rsid w:val="000962A4"/>
    <w:rsid w:val="00096C60"/>
    <w:rsid w:val="00097B5C"/>
    <w:rsid w:val="00097F7D"/>
    <w:rsid w:val="000A0B31"/>
    <w:rsid w:val="000A0DEF"/>
    <w:rsid w:val="000A1438"/>
    <w:rsid w:val="000A317A"/>
    <w:rsid w:val="000A3A57"/>
    <w:rsid w:val="000A4282"/>
    <w:rsid w:val="000A4FBB"/>
    <w:rsid w:val="000A5787"/>
    <w:rsid w:val="000A5F76"/>
    <w:rsid w:val="000A62ED"/>
    <w:rsid w:val="000A72A0"/>
    <w:rsid w:val="000B0607"/>
    <w:rsid w:val="000B1A81"/>
    <w:rsid w:val="000B30CA"/>
    <w:rsid w:val="000B37B6"/>
    <w:rsid w:val="000B4439"/>
    <w:rsid w:val="000B45DF"/>
    <w:rsid w:val="000B4F22"/>
    <w:rsid w:val="000B6C7C"/>
    <w:rsid w:val="000B7F17"/>
    <w:rsid w:val="000C1E7A"/>
    <w:rsid w:val="000C2FCE"/>
    <w:rsid w:val="000C35C4"/>
    <w:rsid w:val="000C4C1E"/>
    <w:rsid w:val="000C7625"/>
    <w:rsid w:val="000D09EF"/>
    <w:rsid w:val="000D1A9A"/>
    <w:rsid w:val="000D1C78"/>
    <w:rsid w:val="000D2CB5"/>
    <w:rsid w:val="000D32AC"/>
    <w:rsid w:val="000D3914"/>
    <w:rsid w:val="000D51E7"/>
    <w:rsid w:val="000D599D"/>
    <w:rsid w:val="000D5F41"/>
    <w:rsid w:val="000D5F6E"/>
    <w:rsid w:val="000D680E"/>
    <w:rsid w:val="000D6848"/>
    <w:rsid w:val="000D6896"/>
    <w:rsid w:val="000D68F4"/>
    <w:rsid w:val="000D6F0E"/>
    <w:rsid w:val="000D7830"/>
    <w:rsid w:val="000D7B60"/>
    <w:rsid w:val="000D7F4B"/>
    <w:rsid w:val="000E0005"/>
    <w:rsid w:val="000E0843"/>
    <w:rsid w:val="000E0A78"/>
    <w:rsid w:val="000E0D83"/>
    <w:rsid w:val="000E16E7"/>
    <w:rsid w:val="000E1ED8"/>
    <w:rsid w:val="000E2058"/>
    <w:rsid w:val="000E2514"/>
    <w:rsid w:val="000E3066"/>
    <w:rsid w:val="000E3DA9"/>
    <w:rsid w:val="000E425C"/>
    <w:rsid w:val="000E5340"/>
    <w:rsid w:val="000E5395"/>
    <w:rsid w:val="000E6429"/>
    <w:rsid w:val="000E7BC5"/>
    <w:rsid w:val="000F1431"/>
    <w:rsid w:val="000F15AB"/>
    <w:rsid w:val="000F3700"/>
    <w:rsid w:val="000F48D9"/>
    <w:rsid w:val="000F53AC"/>
    <w:rsid w:val="000F6156"/>
    <w:rsid w:val="000F79A1"/>
    <w:rsid w:val="000F79B2"/>
    <w:rsid w:val="001004F5"/>
    <w:rsid w:val="00100687"/>
    <w:rsid w:val="001010FB"/>
    <w:rsid w:val="001018F7"/>
    <w:rsid w:val="00101B8A"/>
    <w:rsid w:val="00102807"/>
    <w:rsid w:val="00105BC7"/>
    <w:rsid w:val="0010662A"/>
    <w:rsid w:val="0010670A"/>
    <w:rsid w:val="00106EF7"/>
    <w:rsid w:val="00106F7A"/>
    <w:rsid w:val="00111269"/>
    <w:rsid w:val="0011143F"/>
    <w:rsid w:val="00111C70"/>
    <w:rsid w:val="00111C86"/>
    <w:rsid w:val="001122C8"/>
    <w:rsid w:val="00112564"/>
    <w:rsid w:val="00115360"/>
    <w:rsid w:val="00115623"/>
    <w:rsid w:val="00115B04"/>
    <w:rsid w:val="00115D46"/>
    <w:rsid w:val="00116B91"/>
    <w:rsid w:val="00117B0D"/>
    <w:rsid w:val="00117D90"/>
    <w:rsid w:val="00120518"/>
    <w:rsid w:val="001208A1"/>
    <w:rsid w:val="0012091B"/>
    <w:rsid w:val="001216FD"/>
    <w:rsid w:val="0012189A"/>
    <w:rsid w:val="00121D37"/>
    <w:rsid w:val="00121E4D"/>
    <w:rsid w:val="0012237F"/>
    <w:rsid w:val="001223D8"/>
    <w:rsid w:val="001231E0"/>
    <w:rsid w:val="001236A6"/>
    <w:rsid w:val="001249EA"/>
    <w:rsid w:val="0012567C"/>
    <w:rsid w:val="00125800"/>
    <w:rsid w:val="00125872"/>
    <w:rsid w:val="0012685F"/>
    <w:rsid w:val="00126A9D"/>
    <w:rsid w:val="00126F38"/>
    <w:rsid w:val="00133A22"/>
    <w:rsid w:val="0013415A"/>
    <w:rsid w:val="001343BB"/>
    <w:rsid w:val="001348F7"/>
    <w:rsid w:val="00134C91"/>
    <w:rsid w:val="00134CA1"/>
    <w:rsid w:val="00135125"/>
    <w:rsid w:val="001357DE"/>
    <w:rsid w:val="00137E4C"/>
    <w:rsid w:val="001404C4"/>
    <w:rsid w:val="00140912"/>
    <w:rsid w:val="001411C6"/>
    <w:rsid w:val="0014269A"/>
    <w:rsid w:val="0014296E"/>
    <w:rsid w:val="00142E23"/>
    <w:rsid w:val="00142F02"/>
    <w:rsid w:val="00143436"/>
    <w:rsid w:val="00144621"/>
    <w:rsid w:val="001451BE"/>
    <w:rsid w:val="00145B97"/>
    <w:rsid w:val="00145F0C"/>
    <w:rsid w:val="001501CD"/>
    <w:rsid w:val="001511F9"/>
    <w:rsid w:val="00151C06"/>
    <w:rsid w:val="001526B4"/>
    <w:rsid w:val="0015316B"/>
    <w:rsid w:val="00154887"/>
    <w:rsid w:val="00154A11"/>
    <w:rsid w:val="00155AA7"/>
    <w:rsid w:val="001565F4"/>
    <w:rsid w:val="00156A92"/>
    <w:rsid w:val="00156AE1"/>
    <w:rsid w:val="00156EE3"/>
    <w:rsid w:val="00156F6E"/>
    <w:rsid w:val="00157AD6"/>
    <w:rsid w:val="00157E98"/>
    <w:rsid w:val="00160C71"/>
    <w:rsid w:val="00161ED0"/>
    <w:rsid w:val="00162898"/>
    <w:rsid w:val="001639D5"/>
    <w:rsid w:val="00164031"/>
    <w:rsid w:val="0016403A"/>
    <w:rsid w:val="00165299"/>
    <w:rsid w:val="001652F0"/>
    <w:rsid w:val="001658A3"/>
    <w:rsid w:val="00165A00"/>
    <w:rsid w:val="00165DDF"/>
    <w:rsid w:val="00165E13"/>
    <w:rsid w:val="00165EC4"/>
    <w:rsid w:val="001660B4"/>
    <w:rsid w:val="0016669B"/>
    <w:rsid w:val="00167660"/>
    <w:rsid w:val="00167C04"/>
    <w:rsid w:val="001703F9"/>
    <w:rsid w:val="00172053"/>
    <w:rsid w:val="001730C7"/>
    <w:rsid w:val="001742E6"/>
    <w:rsid w:val="00174B43"/>
    <w:rsid w:val="001750C2"/>
    <w:rsid w:val="00175C01"/>
    <w:rsid w:val="00175CCB"/>
    <w:rsid w:val="00175DF4"/>
    <w:rsid w:val="0017670F"/>
    <w:rsid w:val="0017688E"/>
    <w:rsid w:val="00176A73"/>
    <w:rsid w:val="00176C17"/>
    <w:rsid w:val="00180004"/>
    <w:rsid w:val="00180C0D"/>
    <w:rsid w:val="00181A61"/>
    <w:rsid w:val="00181E2F"/>
    <w:rsid w:val="00182D7C"/>
    <w:rsid w:val="00183894"/>
    <w:rsid w:val="00183FF1"/>
    <w:rsid w:val="001843FB"/>
    <w:rsid w:val="001846F7"/>
    <w:rsid w:val="00184741"/>
    <w:rsid w:val="00184ABA"/>
    <w:rsid w:val="001853A2"/>
    <w:rsid w:val="0018548D"/>
    <w:rsid w:val="00185CD3"/>
    <w:rsid w:val="0018638D"/>
    <w:rsid w:val="00186856"/>
    <w:rsid w:val="00186CA4"/>
    <w:rsid w:val="00186DD0"/>
    <w:rsid w:val="0019008D"/>
    <w:rsid w:val="00190EC0"/>
    <w:rsid w:val="00192010"/>
    <w:rsid w:val="001922A5"/>
    <w:rsid w:val="00192F89"/>
    <w:rsid w:val="00192F99"/>
    <w:rsid w:val="00193ABF"/>
    <w:rsid w:val="00196A67"/>
    <w:rsid w:val="00197B99"/>
    <w:rsid w:val="001A091B"/>
    <w:rsid w:val="001A0DAC"/>
    <w:rsid w:val="001A19E3"/>
    <w:rsid w:val="001A21A0"/>
    <w:rsid w:val="001A2CF6"/>
    <w:rsid w:val="001A39B5"/>
    <w:rsid w:val="001A4188"/>
    <w:rsid w:val="001A440E"/>
    <w:rsid w:val="001A470D"/>
    <w:rsid w:val="001A6A73"/>
    <w:rsid w:val="001A6ABE"/>
    <w:rsid w:val="001A6BC6"/>
    <w:rsid w:val="001A72C5"/>
    <w:rsid w:val="001A738E"/>
    <w:rsid w:val="001A7CB2"/>
    <w:rsid w:val="001A7D63"/>
    <w:rsid w:val="001A7FA5"/>
    <w:rsid w:val="001B27EC"/>
    <w:rsid w:val="001B4847"/>
    <w:rsid w:val="001B4C87"/>
    <w:rsid w:val="001B5FCD"/>
    <w:rsid w:val="001B6808"/>
    <w:rsid w:val="001B6838"/>
    <w:rsid w:val="001B6909"/>
    <w:rsid w:val="001B7283"/>
    <w:rsid w:val="001B76BC"/>
    <w:rsid w:val="001B7F36"/>
    <w:rsid w:val="001C10A1"/>
    <w:rsid w:val="001C1665"/>
    <w:rsid w:val="001C199C"/>
    <w:rsid w:val="001C298C"/>
    <w:rsid w:val="001C3AF2"/>
    <w:rsid w:val="001C493D"/>
    <w:rsid w:val="001C4CE2"/>
    <w:rsid w:val="001C4DAC"/>
    <w:rsid w:val="001C4DBA"/>
    <w:rsid w:val="001C53A5"/>
    <w:rsid w:val="001C54E6"/>
    <w:rsid w:val="001C5E05"/>
    <w:rsid w:val="001C6170"/>
    <w:rsid w:val="001C6847"/>
    <w:rsid w:val="001C6DED"/>
    <w:rsid w:val="001C77B0"/>
    <w:rsid w:val="001D0550"/>
    <w:rsid w:val="001D086B"/>
    <w:rsid w:val="001D15DD"/>
    <w:rsid w:val="001D1633"/>
    <w:rsid w:val="001D18BC"/>
    <w:rsid w:val="001D21D6"/>
    <w:rsid w:val="001D2643"/>
    <w:rsid w:val="001D44A6"/>
    <w:rsid w:val="001D46FD"/>
    <w:rsid w:val="001D4A7D"/>
    <w:rsid w:val="001D530F"/>
    <w:rsid w:val="001D6C9F"/>
    <w:rsid w:val="001D6F16"/>
    <w:rsid w:val="001D7779"/>
    <w:rsid w:val="001D7AD9"/>
    <w:rsid w:val="001D7FD3"/>
    <w:rsid w:val="001E016B"/>
    <w:rsid w:val="001E05BF"/>
    <w:rsid w:val="001E0802"/>
    <w:rsid w:val="001E0C4E"/>
    <w:rsid w:val="001E1B30"/>
    <w:rsid w:val="001E271A"/>
    <w:rsid w:val="001E3471"/>
    <w:rsid w:val="001E3660"/>
    <w:rsid w:val="001E38ED"/>
    <w:rsid w:val="001E3DA6"/>
    <w:rsid w:val="001E5477"/>
    <w:rsid w:val="001E5BD9"/>
    <w:rsid w:val="001E731C"/>
    <w:rsid w:val="001E7C2F"/>
    <w:rsid w:val="001E7D58"/>
    <w:rsid w:val="001F0F5F"/>
    <w:rsid w:val="001F1555"/>
    <w:rsid w:val="001F2D16"/>
    <w:rsid w:val="001F5D23"/>
    <w:rsid w:val="001F68A6"/>
    <w:rsid w:val="001F6B5C"/>
    <w:rsid w:val="001F7CA9"/>
    <w:rsid w:val="001F7CC6"/>
    <w:rsid w:val="001F7E1E"/>
    <w:rsid w:val="00200050"/>
    <w:rsid w:val="00200E8A"/>
    <w:rsid w:val="0020164B"/>
    <w:rsid w:val="002016F0"/>
    <w:rsid w:val="002017F4"/>
    <w:rsid w:val="00201C77"/>
    <w:rsid w:val="00202B32"/>
    <w:rsid w:val="0020353C"/>
    <w:rsid w:val="0020468E"/>
    <w:rsid w:val="0020543A"/>
    <w:rsid w:val="00206FBB"/>
    <w:rsid w:val="00210445"/>
    <w:rsid w:val="00210803"/>
    <w:rsid w:val="00210C4F"/>
    <w:rsid w:val="00211C92"/>
    <w:rsid w:val="00211F2D"/>
    <w:rsid w:val="00213FEA"/>
    <w:rsid w:val="002142E9"/>
    <w:rsid w:val="00214A85"/>
    <w:rsid w:val="002150ED"/>
    <w:rsid w:val="0021514C"/>
    <w:rsid w:val="00215D78"/>
    <w:rsid w:val="00216197"/>
    <w:rsid w:val="002161DF"/>
    <w:rsid w:val="0021671C"/>
    <w:rsid w:val="00216C4E"/>
    <w:rsid w:val="00216D7D"/>
    <w:rsid w:val="00216EA8"/>
    <w:rsid w:val="00217082"/>
    <w:rsid w:val="00217776"/>
    <w:rsid w:val="00217BA5"/>
    <w:rsid w:val="0022041F"/>
    <w:rsid w:val="00220E5F"/>
    <w:rsid w:val="00221209"/>
    <w:rsid w:val="002215E3"/>
    <w:rsid w:val="002217D8"/>
    <w:rsid w:val="00221EE2"/>
    <w:rsid w:val="002225C3"/>
    <w:rsid w:val="00222CFD"/>
    <w:rsid w:val="00223AFA"/>
    <w:rsid w:val="00223C83"/>
    <w:rsid w:val="0022425F"/>
    <w:rsid w:val="0022479D"/>
    <w:rsid w:val="00224BAB"/>
    <w:rsid w:val="00225112"/>
    <w:rsid w:val="0022589E"/>
    <w:rsid w:val="0022664E"/>
    <w:rsid w:val="0022728D"/>
    <w:rsid w:val="002275B5"/>
    <w:rsid w:val="00230569"/>
    <w:rsid w:val="00230638"/>
    <w:rsid w:val="00231293"/>
    <w:rsid w:val="00231B94"/>
    <w:rsid w:val="00231C27"/>
    <w:rsid w:val="00235092"/>
    <w:rsid w:val="00235C94"/>
    <w:rsid w:val="00235D98"/>
    <w:rsid w:val="00236131"/>
    <w:rsid w:val="0023678C"/>
    <w:rsid w:val="00236C7D"/>
    <w:rsid w:val="00237331"/>
    <w:rsid w:val="00237A7A"/>
    <w:rsid w:val="00237CF2"/>
    <w:rsid w:val="00240ACB"/>
    <w:rsid w:val="00240E29"/>
    <w:rsid w:val="00241A2F"/>
    <w:rsid w:val="00243208"/>
    <w:rsid w:val="002437D5"/>
    <w:rsid w:val="002446B1"/>
    <w:rsid w:val="00244751"/>
    <w:rsid w:val="0024475C"/>
    <w:rsid w:val="00245A2B"/>
    <w:rsid w:val="00245BA9"/>
    <w:rsid w:val="00245C9A"/>
    <w:rsid w:val="002465D8"/>
    <w:rsid w:val="002470FE"/>
    <w:rsid w:val="002478C7"/>
    <w:rsid w:val="00252267"/>
    <w:rsid w:val="0025370E"/>
    <w:rsid w:val="00253BAA"/>
    <w:rsid w:val="002550B1"/>
    <w:rsid w:val="00255635"/>
    <w:rsid w:val="00255755"/>
    <w:rsid w:val="00255CCA"/>
    <w:rsid w:val="002609D7"/>
    <w:rsid w:val="00260DAB"/>
    <w:rsid w:val="002619FA"/>
    <w:rsid w:val="00261AE5"/>
    <w:rsid w:val="002632A2"/>
    <w:rsid w:val="002635BF"/>
    <w:rsid w:val="00265D3B"/>
    <w:rsid w:val="00266174"/>
    <w:rsid w:val="0026655B"/>
    <w:rsid w:val="00266C12"/>
    <w:rsid w:val="00270CED"/>
    <w:rsid w:val="00271166"/>
    <w:rsid w:val="00271B45"/>
    <w:rsid w:val="0027337C"/>
    <w:rsid w:val="002733B0"/>
    <w:rsid w:val="00273977"/>
    <w:rsid w:val="00273D2F"/>
    <w:rsid w:val="00273F5B"/>
    <w:rsid w:val="0027623C"/>
    <w:rsid w:val="0027632B"/>
    <w:rsid w:val="00276363"/>
    <w:rsid w:val="00276B02"/>
    <w:rsid w:val="002772D0"/>
    <w:rsid w:val="0027784D"/>
    <w:rsid w:val="002779DB"/>
    <w:rsid w:val="00277CFA"/>
    <w:rsid w:val="00277D68"/>
    <w:rsid w:val="002808FD"/>
    <w:rsid w:val="002815A8"/>
    <w:rsid w:val="002817E9"/>
    <w:rsid w:val="00283057"/>
    <w:rsid w:val="00284337"/>
    <w:rsid w:val="00284C55"/>
    <w:rsid w:val="00284D82"/>
    <w:rsid w:val="0028566F"/>
    <w:rsid w:val="00285F10"/>
    <w:rsid w:val="002867EC"/>
    <w:rsid w:val="00286EFE"/>
    <w:rsid w:val="00290C5A"/>
    <w:rsid w:val="00290D77"/>
    <w:rsid w:val="002913CA"/>
    <w:rsid w:val="002913FA"/>
    <w:rsid w:val="002917DC"/>
    <w:rsid w:val="00293984"/>
    <w:rsid w:val="00294522"/>
    <w:rsid w:val="00295220"/>
    <w:rsid w:val="00295428"/>
    <w:rsid w:val="002965AA"/>
    <w:rsid w:val="00296B1E"/>
    <w:rsid w:val="00296E77"/>
    <w:rsid w:val="002976E1"/>
    <w:rsid w:val="002A0148"/>
    <w:rsid w:val="002A0C68"/>
    <w:rsid w:val="002A1142"/>
    <w:rsid w:val="002A3941"/>
    <w:rsid w:val="002A3D9E"/>
    <w:rsid w:val="002A4789"/>
    <w:rsid w:val="002A48EA"/>
    <w:rsid w:val="002A59C3"/>
    <w:rsid w:val="002A5A59"/>
    <w:rsid w:val="002A65BE"/>
    <w:rsid w:val="002A71AE"/>
    <w:rsid w:val="002A736E"/>
    <w:rsid w:val="002B0216"/>
    <w:rsid w:val="002B02F2"/>
    <w:rsid w:val="002B0D4A"/>
    <w:rsid w:val="002B1975"/>
    <w:rsid w:val="002B1A70"/>
    <w:rsid w:val="002B1EE3"/>
    <w:rsid w:val="002B288A"/>
    <w:rsid w:val="002B2BEF"/>
    <w:rsid w:val="002B3641"/>
    <w:rsid w:val="002B3E8E"/>
    <w:rsid w:val="002B4128"/>
    <w:rsid w:val="002B4665"/>
    <w:rsid w:val="002B5A0D"/>
    <w:rsid w:val="002B5C52"/>
    <w:rsid w:val="002B6CF3"/>
    <w:rsid w:val="002B6CF6"/>
    <w:rsid w:val="002B6D03"/>
    <w:rsid w:val="002B719C"/>
    <w:rsid w:val="002B7427"/>
    <w:rsid w:val="002C045E"/>
    <w:rsid w:val="002C0C09"/>
    <w:rsid w:val="002C126B"/>
    <w:rsid w:val="002C1C33"/>
    <w:rsid w:val="002C2688"/>
    <w:rsid w:val="002C2D6B"/>
    <w:rsid w:val="002C3B1A"/>
    <w:rsid w:val="002C4918"/>
    <w:rsid w:val="002C5029"/>
    <w:rsid w:val="002C51C9"/>
    <w:rsid w:val="002C559F"/>
    <w:rsid w:val="002C5D46"/>
    <w:rsid w:val="002C60F0"/>
    <w:rsid w:val="002C6A27"/>
    <w:rsid w:val="002C7F07"/>
    <w:rsid w:val="002D13A0"/>
    <w:rsid w:val="002D5649"/>
    <w:rsid w:val="002D6318"/>
    <w:rsid w:val="002D6939"/>
    <w:rsid w:val="002D6CC6"/>
    <w:rsid w:val="002D6E90"/>
    <w:rsid w:val="002D76D6"/>
    <w:rsid w:val="002E0407"/>
    <w:rsid w:val="002E0F8F"/>
    <w:rsid w:val="002E1145"/>
    <w:rsid w:val="002E18DE"/>
    <w:rsid w:val="002E1DDC"/>
    <w:rsid w:val="002E24F0"/>
    <w:rsid w:val="002E2DB5"/>
    <w:rsid w:val="002E2E3B"/>
    <w:rsid w:val="002E3710"/>
    <w:rsid w:val="002E3EF6"/>
    <w:rsid w:val="002E7EFA"/>
    <w:rsid w:val="002F1C3C"/>
    <w:rsid w:val="002F2074"/>
    <w:rsid w:val="002F34F4"/>
    <w:rsid w:val="002F36D6"/>
    <w:rsid w:val="002F3787"/>
    <w:rsid w:val="002F3AD4"/>
    <w:rsid w:val="002F3D02"/>
    <w:rsid w:val="002F4228"/>
    <w:rsid w:val="002F49BD"/>
    <w:rsid w:val="002F4CC5"/>
    <w:rsid w:val="002F5677"/>
    <w:rsid w:val="002F65EC"/>
    <w:rsid w:val="002F6884"/>
    <w:rsid w:val="002F6AC1"/>
    <w:rsid w:val="002F72F6"/>
    <w:rsid w:val="002F7412"/>
    <w:rsid w:val="002F7418"/>
    <w:rsid w:val="002F7E78"/>
    <w:rsid w:val="003001C3"/>
    <w:rsid w:val="00301D1E"/>
    <w:rsid w:val="00303792"/>
    <w:rsid w:val="00303836"/>
    <w:rsid w:val="00304594"/>
    <w:rsid w:val="00306115"/>
    <w:rsid w:val="00306941"/>
    <w:rsid w:val="00306C0F"/>
    <w:rsid w:val="00307067"/>
    <w:rsid w:val="003111B4"/>
    <w:rsid w:val="00312824"/>
    <w:rsid w:val="0031341A"/>
    <w:rsid w:val="00313DB0"/>
    <w:rsid w:val="00314736"/>
    <w:rsid w:val="00314A0C"/>
    <w:rsid w:val="003150AD"/>
    <w:rsid w:val="00315938"/>
    <w:rsid w:val="00315B34"/>
    <w:rsid w:val="00316361"/>
    <w:rsid w:val="00316433"/>
    <w:rsid w:val="0031644E"/>
    <w:rsid w:val="0031655D"/>
    <w:rsid w:val="003169C9"/>
    <w:rsid w:val="0032016A"/>
    <w:rsid w:val="00320C92"/>
    <w:rsid w:val="00321547"/>
    <w:rsid w:val="00322AA7"/>
    <w:rsid w:val="00322B69"/>
    <w:rsid w:val="00322C40"/>
    <w:rsid w:val="00324246"/>
    <w:rsid w:val="003249C8"/>
    <w:rsid w:val="00324CC1"/>
    <w:rsid w:val="0032592C"/>
    <w:rsid w:val="00326269"/>
    <w:rsid w:val="00326BAA"/>
    <w:rsid w:val="00326C67"/>
    <w:rsid w:val="00327FB1"/>
    <w:rsid w:val="00330A24"/>
    <w:rsid w:val="00330DAA"/>
    <w:rsid w:val="00331328"/>
    <w:rsid w:val="003313F5"/>
    <w:rsid w:val="0033185D"/>
    <w:rsid w:val="00332382"/>
    <w:rsid w:val="003349ED"/>
    <w:rsid w:val="00334E4B"/>
    <w:rsid w:val="003355F7"/>
    <w:rsid w:val="00335A71"/>
    <w:rsid w:val="00335D71"/>
    <w:rsid w:val="003363F4"/>
    <w:rsid w:val="00336949"/>
    <w:rsid w:val="00336B4C"/>
    <w:rsid w:val="00336CA5"/>
    <w:rsid w:val="00337047"/>
    <w:rsid w:val="0033776B"/>
    <w:rsid w:val="0033785C"/>
    <w:rsid w:val="00340122"/>
    <w:rsid w:val="003403AE"/>
    <w:rsid w:val="003408E7"/>
    <w:rsid w:val="00340B94"/>
    <w:rsid w:val="00343D38"/>
    <w:rsid w:val="003450DB"/>
    <w:rsid w:val="00345687"/>
    <w:rsid w:val="0034584C"/>
    <w:rsid w:val="00345AD3"/>
    <w:rsid w:val="00345D96"/>
    <w:rsid w:val="003464E5"/>
    <w:rsid w:val="00346589"/>
    <w:rsid w:val="003471E7"/>
    <w:rsid w:val="003475BD"/>
    <w:rsid w:val="00347EB5"/>
    <w:rsid w:val="003517B2"/>
    <w:rsid w:val="00351A6D"/>
    <w:rsid w:val="00351AB5"/>
    <w:rsid w:val="00351C9C"/>
    <w:rsid w:val="00351FCD"/>
    <w:rsid w:val="003532DE"/>
    <w:rsid w:val="003533E2"/>
    <w:rsid w:val="00353832"/>
    <w:rsid w:val="003542A7"/>
    <w:rsid w:val="00354CF8"/>
    <w:rsid w:val="00355089"/>
    <w:rsid w:val="0035551E"/>
    <w:rsid w:val="0035562F"/>
    <w:rsid w:val="003569C6"/>
    <w:rsid w:val="003569C8"/>
    <w:rsid w:val="00356BD7"/>
    <w:rsid w:val="003570DE"/>
    <w:rsid w:val="00357355"/>
    <w:rsid w:val="003605C9"/>
    <w:rsid w:val="00360881"/>
    <w:rsid w:val="003625DE"/>
    <w:rsid w:val="00362BCE"/>
    <w:rsid w:val="00362F1C"/>
    <w:rsid w:val="003632C0"/>
    <w:rsid w:val="003635B7"/>
    <w:rsid w:val="003643B9"/>
    <w:rsid w:val="00364753"/>
    <w:rsid w:val="0036510F"/>
    <w:rsid w:val="003658C1"/>
    <w:rsid w:val="00365FBB"/>
    <w:rsid w:val="00366305"/>
    <w:rsid w:val="00367A27"/>
    <w:rsid w:val="00370379"/>
    <w:rsid w:val="003703FB"/>
    <w:rsid w:val="00371826"/>
    <w:rsid w:val="00373316"/>
    <w:rsid w:val="00374AF0"/>
    <w:rsid w:val="00374FB4"/>
    <w:rsid w:val="00374FCF"/>
    <w:rsid w:val="00375332"/>
    <w:rsid w:val="003767BA"/>
    <w:rsid w:val="003771A3"/>
    <w:rsid w:val="00377796"/>
    <w:rsid w:val="00381306"/>
    <w:rsid w:val="00381B15"/>
    <w:rsid w:val="00381D01"/>
    <w:rsid w:val="00381EAF"/>
    <w:rsid w:val="003826D8"/>
    <w:rsid w:val="0038348E"/>
    <w:rsid w:val="003839CC"/>
    <w:rsid w:val="00383D49"/>
    <w:rsid w:val="00384685"/>
    <w:rsid w:val="00387029"/>
    <w:rsid w:val="00387137"/>
    <w:rsid w:val="00387C48"/>
    <w:rsid w:val="00387E28"/>
    <w:rsid w:val="003907AB"/>
    <w:rsid w:val="00390871"/>
    <w:rsid w:val="0039297E"/>
    <w:rsid w:val="003932B2"/>
    <w:rsid w:val="00393484"/>
    <w:rsid w:val="00394C28"/>
    <w:rsid w:val="003958BB"/>
    <w:rsid w:val="00395A4C"/>
    <w:rsid w:val="00395DB2"/>
    <w:rsid w:val="00395E72"/>
    <w:rsid w:val="003965BB"/>
    <w:rsid w:val="00397925"/>
    <w:rsid w:val="003A07D2"/>
    <w:rsid w:val="003A0FB4"/>
    <w:rsid w:val="003A11F0"/>
    <w:rsid w:val="003A1A66"/>
    <w:rsid w:val="003A33A1"/>
    <w:rsid w:val="003A5199"/>
    <w:rsid w:val="003A5D4A"/>
    <w:rsid w:val="003A5F05"/>
    <w:rsid w:val="003A6166"/>
    <w:rsid w:val="003A64CD"/>
    <w:rsid w:val="003A6B39"/>
    <w:rsid w:val="003B1C1E"/>
    <w:rsid w:val="003B1DD0"/>
    <w:rsid w:val="003B2CD9"/>
    <w:rsid w:val="003B34FD"/>
    <w:rsid w:val="003B350C"/>
    <w:rsid w:val="003B3879"/>
    <w:rsid w:val="003B3C24"/>
    <w:rsid w:val="003B424A"/>
    <w:rsid w:val="003B4ECC"/>
    <w:rsid w:val="003B68EE"/>
    <w:rsid w:val="003B6B7C"/>
    <w:rsid w:val="003B7BAA"/>
    <w:rsid w:val="003B7BE7"/>
    <w:rsid w:val="003B7D2B"/>
    <w:rsid w:val="003C0036"/>
    <w:rsid w:val="003C028A"/>
    <w:rsid w:val="003C0F85"/>
    <w:rsid w:val="003C16C3"/>
    <w:rsid w:val="003C1A4A"/>
    <w:rsid w:val="003C1AAE"/>
    <w:rsid w:val="003C1C16"/>
    <w:rsid w:val="003C2DA6"/>
    <w:rsid w:val="003C324D"/>
    <w:rsid w:val="003C3AB4"/>
    <w:rsid w:val="003C3ECD"/>
    <w:rsid w:val="003C41F6"/>
    <w:rsid w:val="003C458C"/>
    <w:rsid w:val="003C6370"/>
    <w:rsid w:val="003C6A6A"/>
    <w:rsid w:val="003C6A75"/>
    <w:rsid w:val="003C6BF6"/>
    <w:rsid w:val="003C7735"/>
    <w:rsid w:val="003C7FB6"/>
    <w:rsid w:val="003D1A83"/>
    <w:rsid w:val="003D20E9"/>
    <w:rsid w:val="003D2410"/>
    <w:rsid w:val="003D2E54"/>
    <w:rsid w:val="003D34A3"/>
    <w:rsid w:val="003D531D"/>
    <w:rsid w:val="003D6AEF"/>
    <w:rsid w:val="003D6F55"/>
    <w:rsid w:val="003D75A1"/>
    <w:rsid w:val="003E03BE"/>
    <w:rsid w:val="003E09EA"/>
    <w:rsid w:val="003E0A0D"/>
    <w:rsid w:val="003E0B74"/>
    <w:rsid w:val="003E0F6E"/>
    <w:rsid w:val="003E10E8"/>
    <w:rsid w:val="003E1C0B"/>
    <w:rsid w:val="003E2144"/>
    <w:rsid w:val="003E25F8"/>
    <w:rsid w:val="003E2F03"/>
    <w:rsid w:val="003E3384"/>
    <w:rsid w:val="003E411D"/>
    <w:rsid w:val="003E4501"/>
    <w:rsid w:val="003E4532"/>
    <w:rsid w:val="003E5886"/>
    <w:rsid w:val="003E62C8"/>
    <w:rsid w:val="003E7514"/>
    <w:rsid w:val="003E7BC0"/>
    <w:rsid w:val="003E7D83"/>
    <w:rsid w:val="003E7DCF"/>
    <w:rsid w:val="003F0175"/>
    <w:rsid w:val="003F03C4"/>
    <w:rsid w:val="003F04DB"/>
    <w:rsid w:val="003F0E58"/>
    <w:rsid w:val="003F14D3"/>
    <w:rsid w:val="003F19E6"/>
    <w:rsid w:val="003F1D63"/>
    <w:rsid w:val="003F1DAE"/>
    <w:rsid w:val="003F2002"/>
    <w:rsid w:val="003F340F"/>
    <w:rsid w:val="003F3588"/>
    <w:rsid w:val="003F37F7"/>
    <w:rsid w:val="003F39C9"/>
    <w:rsid w:val="003F3AAD"/>
    <w:rsid w:val="003F412E"/>
    <w:rsid w:val="003F43CC"/>
    <w:rsid w:val="003F4B95"/>
    <w:rsid w:val="003F4D36"/>
    <w:rsid w:val="003F5740"/>
    <w:rsid w:val="00401170"/>
    <w:rsid w:val="00401794"/>
    <w:rsid w:val="00402414"/>
    <w:rsid w:val="0040428F"/>
    <w:rsid w:val="00404BE8"/>
    <w:rsid w:val="00404DDD"/>
    <w:rsid w:val="0040723E"/>
    <w:rsid w:val="0040741B"/>
    <w:rsid w:val="0040750B"/>
    <w:rsid w:val="00407671"/>
    <w:rsid w:val="00407684"/>
    <w:rsid w:val="00410442"/>
    <w:rsid w:val="00411619"/>
    <w:rsid w:val="004117A6"/>
    <w:rsid w:val="00411E70"/>
    <w:rsid w:val="004121B1"/>
    <w:rsid w:val="00412F09"/>
    <w:rsid w:val="004134E0"/>
    <w:rsid w:val="0041379C"/>
    <w:rsid w:val="00413B7D"/>
    <w:rsid w:val="00413F0E"/>
    <w:rsid w:val="00413F39"/>
    <w:rsid w:val="00414133"/>
    <w:rsid w:val="00415480"/>
    <w:rsid w:val="00416F4F"/>
    <w:rsid w:val="00417D11"/>
    <w:rsid w:val="00417F35"/>
    <w:rsid w:val="00420B44"/>
    <w:rsid w:val="00420F6A"/>
    <w:rsid w:val="004217B1"/>
    <w:rsid w:val="00421960"/>
    <w:rsid w:val="00422036"/>
    <w:rsid w:val="00422298"/>
    <w:rsid w:val="004223F1"/>
    <w:rsid w:val="00422B94"/>
    <w:rsid w:val="00423C81"/>
    <w:rsid w:val="00424933"/>
    <w:rsid w:val="004251EF"/>
    <w:rsid w:val="00426165"/>
    <w:rsid w:val="00427493"/>
    <w:rsid w:val="004274A4"/>
    <w:rsid w:val="00427870"/>
    <w:rsid w:val="0042790C"/>
    <w:rsid w:val="00427A1A"/>
    <w:rsid w:val="00427D2C"/>
    <w:rsid w:val="00427D70"/>
    <w:rsid w:val="00430115"/>
    <w:rsid w:val="004307F5"/>
    <w:rsid w:val="0043151D"/>
    <w:rsid w:val="00432C4E"/>
    <w:rsid w:val="00434233"/>
    <w:rsid w:val="004343AA"/>
    <w:rsid w:val="00434B35"/>
    <w:rsid w:val="0043510C"/>
    <w:rsid w:val="0043545B"/>
    <w:rsid w:val="00436F68"/>
    <w:rsid w:val="00440987"/>
    <w:rsid w:val="00441F7C"/>
    <w:rsid w:val="0044365A"/>
    <w:rsid w:val="00444B16"/>
    <w:rsid w:val="00444CE4"/>
    <w:rsid w:val="00444D9B"/>
    <w:rsid w:val="004451F5"/>
    <w:rsid w:val="00445829"/>
    <w:rsid w:val="00446A40"/>
    <w:rsid w:val="0044721D"/>
    <w:rsid w:val="004473BD"/>
    <w:rsid w:val="004478AC"/>
    <w:rsid w:val="00447E87"/>
    <w:rsid w:val="00450348"/>
    <w:rsid w:val="004503A7"/>
    <w:rsid w:val="004503F6"/>
    <w:rsid w:val="0045061F"/>
    <w:rsid w:val="00450676"/>
    <w:rsid w:val="00450B24"/>
    <w:rsid w:val="00450FA9"/>
    <w:rsid w:val="004510B2"/>
    <w:rsid w:val="004516F0"/>
    <w:rsid w:val="00451941"/>
    <w:rsid w:val="00452847"/>
    <w:rsid w:val="00452F8D"/>
    <w:rsid w:val="00453057"/>
    <w:rsid w:val="004549DE"/>
    <w:rsid w:val="00455389"/>
    <w:rsid w:val="00455BFE"/>
    <w:rsid w:val="004562CC"/>
    <w:rsid w:val="00456A87"/>
    <w:rsid w:val="00456FB3"/>
    <w:rsid w:val="0045714E"/>
    <w:rsid w:val="004606F1"/>
    <w:rsid w:val="00460C4B"/>
    <w:rsid w:val="0046142E"/>
    <w:rsid w:val="004614BC"/>
    <w:rsid w:val="004622C8"/>
    <w:rsid w:val="00462F1C"/>
    <w:rsid w:val="0046357B"/>
    <w:rsid w:val="0046365B"/>
    <w:rsid w:val="00463DE4"/>
    <w:rsid w:val="00463EC4"/>
    <w:rsid w:val="00463FCC"/>
    <w:rsid w:val="0046440E"/>
    <w:rsid w:val="004645A4"/>
    <w:rsid w:val="00464A9E"/>
    <w:rsid w:val="00464FFD"/>
    <w:rsid w:val="00466D1B"/>
    <w:rsid w:val="00470333"/>
    <w:rsid w:val="00470487"/>
    <w:rsid w:val="00470525"/>
    <w:rsid w:val="00470D72"/>
    <w:rsid w:val="00471026"/>
    <w:rsid w:val="0047137A"/>
    <w:rsid w:val="00471BB0"/>
    <w:rsid w:val="00472475"/>
    <w:rsid w:val="00472A0B"/>
    <w:rsid w:val="00472AD5"/>
    <w:rsid w:val="00473099"/>
    <w:rsid w:val="00473DC4"/>
    <w:rsid w:val="0047457D"/>
    <w:rsid w:val="0047503B"/>
    <w:rsid w:val="00475CEE"/>
    <w:rsid w:val="00476833"/>
    <w:rsid w:val="00477BA3"/>
    <w:rsid w:val="004810CF"/>
    <w:rsid w:val="004819B9"/>
    <w:rsid w:val="00481B5F"/>
    <w:rsid w:val="00481BF5"/>
    <w:rsid w:val="0048224A"/>
    <w:rsid w:val="004824A8"/>
    <w:rsid w:val="004830B6"/>
    <w:rsid w:val="004830E4"/>
    <w:rsid w:val="004836DB"/>
    <w:rsid w:val="00484A96"/>
    <w:rsid w:val="00485766"/>
    <w:rsid w:val="004859D9"/>
    <w:rsid w:val="00486539"/>
    <w:rsid w:val="0048684B"/>
    <w:rsid w:val="00486CD9"/>
    <w:rsid w:val="004873A8"/>
    <w:rsid w:val="0048746E"/>
    <w:rsid w:val="00490968"/>
    <w:rsid w:val="00491AD1"/>
    <w:rsid w:val="00492475"/>
    <w:rsid w:val="00492737"/>
    <w:rsid w:val="00493649"/>
    <w:rsid w:val="00493AB5"/>
    <w:rsid w:val="00493ABE"/>
    <w:rsid w:val="00493CEF"/>
    <w:rsid w:val="00493DF7"/>
    <w:rsid w:val="00495A69"/>
    <w:rsid w:val="00496950"/>
    <w:rsid w:val="004974A7"/>
    <w:rsid w:val="00497C8F"/>
    <w:rsid w:val="004A03C6"/>
    <w:rsid w:val="004A0E03"/>
    <w:rsid w:val="004A1F88"/>
    <w:rsid w:val="004A224A"/>
    <w:rsid w:val="004A2662"/>
    <w:rsid w:val="004A27AE"/>
    <w:rsid w:val="004A2E4E"/>
    <w:rsid w:val="004A3F33"/>
    <w:rsid w:val="004A54A0"/>
    <w:rsid w:val="004A5695"/>
    <w:rsid w:val="004A67BC"/>
    <w:rsid w:val="004A7732"/>
    <w:rsid w:val="004A7C1F"/>
    <w:rsid w:val="004A7EE4"/>
    <w:rsid w:val="004B0715"/>
    <w:rsid w:val="004B08AD"/>
    <w:rsid w:val="004B0AEB"/>
    <w:rsid w:val="004B0EEF"/>
    <w:rsid w:val="004B1EAF"/>
    <w:rsid w:val="004B27F2"/>
    <w:rsid w:val="004B2891"/>
    <w:rsid w:val="004B2F98"/>
    <w:rsid w:val="004B3AC3"/>
    <w:rsid w:val="004B3CC1"/>
    <w:rsid w:val="004B4833"/>
    <w:rsid w:val="004B4C95"/>
    <w:rsid w:val="004B5DC2"/>
    <w:rsid w:val="004B6587"/>
    <w:rsid w:val="004C062E"/>
    <w:rsid w:val="004C24F5"/>
    <w:rsid w:val="004C349E"/>
    <w:rsid w:val="004C3591"/>
    <w:rsid w:val="004C3936"/>
    <w:rsid w:val="004C3A40"/>
    <w:rsid w:val="004C3FD3"/>
    <w:rsid w:val="004C660E"/>
    <w:rsid w:val="004C6A74"/>
    <w:rsid w:val="004C7165"/>
    <w:rsid w:val="004D0B1A"/>
    <w:rsid w:val="004D0D11"/>
    <w:rsid w:val="004D150F"/>
    <w:rsid w:val="004D1601"/>
    <w:rsid w:val="004D32A4"/>
    <w:rsid w:val="004D43A8"/>
    <w:rsid w:val="004D4473"/>
    <w:rsid w:val="004D5174"/>
    <w:rsid w:val="004D655B"/>
    <w:rsid w:val="004D67C4"/>
    <w:rsid w:val="004D69D0"/>
    <w:rsid w:val="004D705B"/>
    <w:rsid w:val="004D712F"/>
    <w:rsid w:val="004E0F48"/>
    <w:rsid w:val="004E1DD2"/>
    <w:rsid w:val="004E1E74"/>
    <w:rsid w:val="004E2BAE"/>
    <w:rsid w:val="004E2D97"/>
    <w:rsid w:val="004E3373"/>
    <w:rsid w:val="004E3907"/>
    <w:rsid w:val="004E3DC5"/>
    <w:rsid w:val="004E421A"/>
    <w:rsid w:val="004E50B8"/>
    <w:rsid w:val="004E59FC"/>
    <w:rsid w:val="004E624E"/>
    <w:rsid w:val="004E63F1"/>
    <w:rsid w:val="004E6C3A"/>
    <w:rsid w:val="004E7185"/>
    <w:rsid w:val="004F04C0"/>
    <w:rsid w:val="004F24C1"/>
    <w:rsid w:val="004F4133"/>
    <w:rsid w:val="004F4F05"/>
    <w:rsid w:val="004F5121"/>
    <w:rsid w:val="004F5B76"/>
    <w:rsid w:val="004F5E3F"/>
    <w:rsid w:val="004F6028"/>
    <w:rsid w:val="004F7F17"/>
    <w:rsid w:val="004F7FFC"/>
    <w:rsid w:val="0050054C"/>
    <w:rsid w:val="00501BAD"/>
    <w:rsid w:val="00501CF3"/>
    <w:rsid w:val="00502962"/>
    <w:rsid w:val="00502D3F"/>
    <w:rsid w:val="00502F3E"/>
    <w:rsid w:val="005038D8"/>
    <w:rsid w:val="00503CAF"/>
    <w:rsid w:val="005044A9"/>
    <w:rsid w:val="00504645"/>
    <w:rsid w:val="0050491C"/>
    <w:rsid w:val="00504C3A"/>
    <w:rsid w:val="00505421"/>
    <w:rsid w:val="00505F27"/>
    <w:rsid w:val="00506E1D"/>
    <w:rsid w:val="0051039A"/>
    <w:rsid w:val="00511241"/>
    <w:rsid w:val="00513385"/>
    <w:rsid w:val="00515860"/>
    <w:rsid w:val="00516E48"/>
    <w:rsid w:val="00521049"/>
    <w:rsid w:val="00522157"/>
    <w:rsid w:val="005226DC"/>
    <w:rsid w:val="0052298B"/>
    <w:rsid w:val="00522F25"/>
    <w:rsid w:val="00523512"/>
    <w:rsid w:val="00523813"/>
    <w:rsid w:val="00523855"/>
    <w:rsid w:val="00523B0F"/>
    <w:rsid w:val="00523B6F"/>
    <w:rsid w:val="005250BD"/>
    <w:rsid w:val="00525852"/>
    <w:rsid w:val="00526C93"/>
    <w:rsid w:val="00526F2E"/>
    <w:rsid w:val="00527CF0"/>
    <w:rsid w:val="00530B23"/>
    <w:rsid w:val="00531596"/>
    <w:rsid w:val="00531B06"/>
    <w:rsid w:val="00531F94"/>
    <w:rsid w:val="0053257A"/>
    <w:rsid w:val="005327CB"/>
    <w:rsid w:val="005341E5"/>
    <w:rsid w:val="0053488D"/>
    <w:rsid w:val="00535122"/>
    <w:rsid w:val="00535220"/>
    <w:rsid w:val="0053524B"/>
    <w:rsid w:val="0053542F"/>
    <w:rsid w:val="0053563C"/>
    <w:rsid w:val="00535EA6"/>
    <w:rsid w:val="0053659A"/>
    <w:rsid w:val="00536E0F"/>
    <w:rsid w:val="00537C65"/>
    <w:rsid w:val="00537FBE"/>
    <w:rsid w:val="00542524"/>
    <w:rsid w:val="00542ED7"/>
    <w:rsid w:val="005434B0"/>
    <w:rsid w:val="00543BA2"/>
    <w:rsid w:val="00543F46"/>
    <w:rsid w:val="0054466F"/>
    <w:rsid w:val="0054490A"/>
    <w:rsid w:val="00545974"/>
    <w:rsid w:val="00545D9A"/>
    <w:rsid w:val="0054643D"/>
    <w:rsid w:val="00547320"/>
    <w:rsid w:val="00547542"/>
    <w:rsid w:val="005479F3"/>
    <w:rsid w:val="005503B6"/>
    <w:rsid w:val="005509D0"/>
    <w:rsid w:val="00550ED0"/>
    <w:rsid w:val="00552C4D"/>
    <w:rsid w:val="00552C55"/>
    <w:rsid w:val="00553209"/>
    <w:rsid w:val="00553702"/>
    <w:rsid w:val="0055415D"/>
    <w:rsid w:val="005546D1"/>
    <w:rsid w:val="00554BCD"/>
    <w:rsid w:val="00556662"/>
    <w:rsid w:val="00557481"/>
    <w:rsid w:val="00557F7D"/>
    <w:rsid w:val="00560127"/>
    <w:rsid w:val="00561646"/>
    <w:rsid w:val="0056182D"/>
    <w:rsid w:val="00562000"/>
    <w:rsid w:val="0056298D"/>
    <w:rsid w:val="00563FA2"/>
    <w:rsid w:val="00564384"/>
    <w:rsid w:val="0056546B"/>
    <w:rsid w:val="00565BBB"/>
    <w:rsid w:val="00566D7B"/>
    <w:rsid w:val="005675E9"/>
    <w:rsid w:val="00567BCD"/>
    <w:rsid w:val="00570E88"/>
    <w:rsid w:val="005719BA"/>
    <w:rsid w:val="00572101"/>
    <w:rsid w:val="0057247F"/>
    <w:rsid w:val="00572F98"/>
    <w:rsid w:val="005731CB"/>
    <w:rsid w:val="00573A73"/>
    <w:rsid w:val="00573AA4"/>
    <w:rsid w:val="00573B3A"/>
    <w:rsid w:val="00573B8C"/>
    <w:rsid w:val="00574990"/>
    <w:rsid w:val="00575A22"/>
    <w:rsid w:val="00575BFD"/>
    <w:rsid w:val="00575C6E"/>
    <w:rsid w:val="00575D63"/>
    <w:rsid w:val="005774F2"/>
    <w:rsid w:val="00577589"/>
    <w:rsid w:val="0057779C"/>
    <w:rsid w:val="00577F36"/>
    <w:rsid w:val="0058002C"/>
    <w:rsid w:val="00580572"/>
    <w:rsid w:val="00581979"/>
    <w:rsid w:val="00581E61"/>
    <w:rsid w:val="0058223F"/>
    <w:rsid w:val="00582891"/>
    <w:rsid w:val="00582EF7"/>
    <w:rsid w:val="00582FB1"/>
    <w:rsid w:val="0058331D"/>
    <w:rsid w:val="00583BE1"/>
    <w:rsid w:val="00583D29"/>
    <w:rsid w:val="00584580"/>
    <w:rsid w:val="00584E78"/>
    <w:rsid w:val="00586A30"/>
    <w:rsid w:val="00590246"/>
    <w:rsid w:val="00590F97"/>
    <w:rsid w:val="005911F6"/>
    <w:rsid w:val="005915AA"/>
    <w:rsid w:val="00592D13"/>
    <w:rsid w:val="0059369E"/>
    <w:rsid w:val="00594383"/>
    <w:rsid w:val="00594919"/>
    <w:rsid w:val="0059584F"/>
    <w:rsid w:val="005967FC"/>
    <w:rsid w:val="00596E1E"/>
    <w:rsid w:val="00597448"/>
    <w:rsid w:val="00597596"/>
    <w:rsid w:val="005976A4"/>
    <w:rsid w:val="005A02E8"/>
    <w:rsid w:val="005A0834"/>
    <w:rsid w:val="005A0B80"/>
    <w:rsid w:val="005A1993"/>
    <w:rsid w:val="005A2B26"/>
    <w:rsid w:val="005A2B58"/>
    <w:rsid w:val="005A2DAE"/>
    <w:rsid w:val="005A3BB4"/>
    <w:rsid w:val="005A48CC"/>
    <w:rsid w:val="005A5618"/>
    <w:rsid w:val="005A62B4"/>
    <w:rsid w:val="005A6E00"/>
    <w:rsid w:val="005A6EF6"/>
    <w:rsid w:val="005A78F8"/>
    <w:rsid w:val="005B0458"/>
    <w:rsid w:val="005B0540"/>
    <w:rsid w:val="005B0A0D"/>
    <w:rsid w:val="005B1A4F"/>
    <w:rsid w:val="005B1E5F"/>
    <w:rsid w:val="005B2E98"/>
    <w:rsid w:val="005B31A2"/>
    <w:rsid w:val="005B3CC4"/>
    <w:rsid w:val="005B4143"/>
    <w:rsid w:val="005B4418"/>
    <w:rsid w:val="005B5491"/>
    <w:rsid w:val="005B6163"/>
    <w:rsid w:val="005B66C7"/>
    <w:rsid w:val="005B79D9"/>
    <w:rsid w:val="005B7C80"/>
    <w:rsid w:val="005C0001"/>
    <w:rsid w:val="005C106B"/>
    <w:rsid w:val="005C122C"/>
    <w:rsid w:val="005C151C"/>
    <w:rsid w:val="005C2D1F"/>
    <w:rsid w:val="005C38B2"/>
    <w:rsid w:val="005C40A3"/>
    <w:rsid w:val="005C4AA8"/>
    <w:rsid w:val="005C5157"/>
    <w:rsid w:val="005C5958"/>
    <w:rsid w:val="005D014A"/>
    <w:rsid w:val="005D0293"/>
    <w:rsid w:val="005D0D34"/>
    <w:rsid w:val="005D0D61"/>
    <w:rsid w:val="005D0DA1"/>
    <w:rsid w:val="005D147E"/>
    <w:rsid w:val="005D1EB2"/>
    <w:rsid w:val="005D318F"/>
    <w:rsid w:val="005D32B0"/>
    <w:rsid w:val="005D338F"/>
    <w:rsid w:val="005D3D57"/>
    <w:rsid w:val="005D408F"/>
    <w:rsid w:val="005D4752"/>
    <w:rsid w:val="005D4988"/>
    <w:rsid w:val="005D4E72"/>
    <w:rsid w:val="005D553A"/>
    <w:rsid w:val="005D58A5"/>
    <w:rsid w:val="005D596E"/>
    <w:rsid w:val="005D5C8E"/>
    <w:rsid w:val="005D6CB5"/>
    <w:rsid w:val="005D75F0"/>
    <w:rsid w:val="005D771D"/>
    <w:rsid w:val="005E0AD8"/>
    <w:rsid w:val="005E0F48"/>
    <w:rsid w:val="005E256C"/>
    <w:rsid w:val="005E278D"/>
    <w:rsid w:val="005E3C13"/>
    <w:rsid w:val="005E5FC7"/>
    <w:rsid w:val="005E6B0D"/>
    <w:rsid w:val="005E6CF5"/>
    <w:rsid w:val="005F0759"/>
    <w:rsid w:val="005F15BF"/>
    <w:rsid w:val="005F1A85"/>
    <w:rsid w:val="005F2087"/>
    <w:rsid w:val="005F2A42"/>
    <w:rsid w:val="005F316E"/>
    <w:rsid w:val="005F3E98"/>
    <w:rsid w:val="005F402F"/>
    <w:rsid w:val="005F4AA5"/>
    <w:rsid w:val="005F540C"/>
    <w:rsid w:val="005F6872"/>
    <w:rsid w:val="005F75D7"/>
    <w:rsid w:val="005F7899"/>
    <w:rsid w:val="005F7ADA"/>
    <w:rsid w:val="006000F2"/>
    <w:rsid w:val="00601FE0"/>
    <w:rsid w:val="00602662"/>
    <w:rsid w:val="00602E22"/>
    <w:rsid w:val="00602F57"/>
    <w:rsid w:val="00603337"/>
    <w:rsid w:val="00603577"/>
    <w:rsid w:val="006038FF"/>
    <w:rsid w:val="00603D29"/>
    <w:rsid w:val="0060424F"/>
    <w:rsid w:val="00604619"/>
    <w:rsid w:val="0060463C"/>
    <w:rsid w:val="00605028"/>
    <w:rsid w:val="0060534F"/>
    <w:rsid w:val="006063EC"/>
    <w:rsid w:val="00606F9B"/>
    <w:rsid w:val="006079B0"/>
    <w:rsid w:val="00607AB1"/>
    <w:rsid w:val="00607CE1"/>
    <w:rsid w:val="006104CC"/>
    <w:rsid w:val="00610A76"/>
    <w:rsid w:val="006118E3"/>
    <w:rsid w:val="00611925"/>
    <w:rsid w:val="00612E0F"/>
    <w:rsid w:val="0061329F"/>
    <w:rsid w:val="0061341B"/>
    <w:rsid w:val="00613C15"/>
    <w:rsid w:val="00613EFC"/>
    <w:rsid w:val="00613FEF"/>
    <w:rsid w:val="006153E9"/>
    <w:rsid w:val="006158E6"/>
    <w:rsid w:val="0061687A"/>
    <w:rsid w:val="00616DCE"/>
    <w:rsid w:val="006173BE"/>
    <w:rsid w:val="006175BC"/>
    <w:rsid w:val="00620EF2"/>
    <w:rsid w:val="0062106C"/>
    <w:rsid w:val="006213D6"/>
    <w:rsid w:val="00622067"/>
    <w:rsid w:val="00623678"/>
    <w:rsid w:val="006236AB"/>
    <w:rsid w:val="0062397D"/>
    <w:rsid w:val="00623996"/>
    <w:rsid w:val="00624498"/>
    <w:rsid w:val="00624B3E"/>
    <w:rsid w:val="00624E60"/>
    <w:rsid w:val="006257BA"/>
    <w:rsid w:val="00625CD0"/>
    <w:rsid w:val="00625DD0"/>
    <w:rsid w:val="00627132"/>
    <w:rsid w:val="0063014F"/>
    <w:rsid w:val="00630852"/>
    <w:rsid w:val="00630BB6"/>
    <w:rsid w:val="00630FE6"/>
    <w:rsid w:val="00632B92"/>
    <w:rsid w:val="00632DBA"/>
    <w:rsid w:val="00633335"/>
    <w:rsid w:val="00633969"/>
    <w:rsid w:val="00633A5B"/>
    <w:rsid w:val="00633A9C"/>
    <w:rsid w:val="00633B1B"/>
    <w:rsid w:val="00633F6C"/>
    <w:rsid w:val="00634071"/>
    <w:rsid w:val="0063501D"/>
    <w:rsid w:val="00635525"/>
    <w:rsid w:val="00635AF1"/>
    <w:rsid w:val="006362BA"/>
    <w:rsid w:val="00637789"/>
    <w:rsid w:val="00637AED"/>
    <w:rsid w:val="0064010B"/>
    <w:rsid w:val="00640C3C"/>
    <w:rsid w:val="0064263D"/>
    <w:rsid w:val="00642C95"/>
    <w:rsid w:val="00642DE7"/>
    <w:rsid w:val="00643A2A"/>
    <w:rsid w:val="00643A8D"/>
    <w:rsid w:val="00643BD9"/>
    <w:rsid w:val="00643EAB"/>
    <w:rsid w:val="006449D1"/>
    <w:rsid w:val="0064592E"/>
    <w:rsid w:val="00647B51"/>
    <w:rsid w:val="00647C05"/>
    <w:rsid w:val="006502CE"/>
    <w:rsid w:val="00650791"/>
    <w:rsid w:val="006508A1"/>
    <w:rsid w:val="006519DC"/>
    <w:rsid w:val="00652115"/>
    <w:rsid w:val="00655394"/>
    <w:rsid w:val="006558EC"/>
    <w:rsid w:val="00655C66"/>
    <w:rsid w:val="00660EEA"/>
    <w:rsid w:val="00661E1B"/>
    <w:rsid w:val="00662CAE"/>
    <w:rsid w:val="00663513"/>
    <w:rsid w:val="00663DA1"/>
    <w:rsid w:val="00664258"/>
    <w:rsid w:val="00664AE2"/>
    <w:rsid w:val="0066501C"/>
    <w:rsid w:val="00665EB6"/>
    <w:rsid w:val="00666F58"/>
    <w:rsid w:val="00667ADC"/>
    <w:rsid w:val="0067072F"/>
    <w:rsid w:val="00670DE2"/>
    <w:rsid w:val="00670E35"/>
    <w:rsid w:val="006713A4"/>
    <w:rsid w:val="00671628"/>
    <w:rsid w:val="00671A28"/>
    <w:rsid w:val="00671AA7"/>
    <w:rsid w:val="00671B4A"/>
    <w:rsid w:val="00671EFB"/>
    <w:rsid w:val="00673D57"/>
    <w:rsid w:val="00674462"/>
    <w:rsid w:val="0067591A"/>
    <w:rsid w:val="00676E73"/>
    <w:rsid w:val="00677424"/>
    <w:rsid w:val="00677CCD"/>
    <w:rsid w:val="00680778"/>
    <w:rsid w:val="00680BC0"/>
    <w:rsid w:val="00680E8B"/>
    <w:rsid w:val="00681A47"/>
    <w:rsid w:val="00681AF0"/>
    <w:rsid w:val="00681D0E"/>
    <w:rsid w:val="006823DB"/>
    <w:rsid w:val="00682EDA"/>
    <w:rsid w:val="0068374D"/>
    <w:rsid w:val="00683EEA"/>
    <w:rsid w:val="006840EF"/>
    <w:rsid w:val="00686E82"/>
    <w:rsid w:val="00687639"/>
    <w:rsid w:val="00687814"/>
    <w:rsid w:val="00687BB4"/>
    <w:rsid w:val="0069097D"/>
    <w:rsid w:val="00691291"/>
    <w:rsid w:val="006918FF"/>
    <w:rsid w:val="006926D9"/>
    <w:rsid w:val="006943DF"/>
    <w:rsid w:val="00694B60"/>
    <w:rsid w:val="00694C2F"/>
    <w:rsid w:val="0069592C"/>
    <w:rsid w:val="006963A6"/>
    <w:rsid w:val="00696763"/>
    <w:rsid w:val="00696F3B"/>
    <w:rsid w:val="00697242"/>
    <w:rsid w:val="006979C0"/>
    <w:rsid w:val="00697A3F"/>
    <w:rsid w:val="00697C23"/>
    <w:rsid w:val="006A05DB"/>
    <w:rsid w:val="006A0C9F"/>
    <w:rsid w:val="006A150C"/>
    <w:rsid w:val="006A2056"/>
    <w:rsid w:val="006A299E"/>
    <w:rsid w:val="006A2AE2"/>
    <w:rsid w:val="006A4CBB"/>
    <w:rsid w:val="006A5228"/>
    <w:rsid w:val="006A6AB0"/>
    <w:rsid w:val="006B1252"/>
    <w:rsid w:val="006B19DD"/>
    <w:rsid w:val="006B1BE2"/>
    <w:rsid w:val="006B1D81"/>
    <w:rsid w:val="006B2E70"/>
    <w:rsid w:val="006B34E2"/>
    <w:rsid w:val="006B3AE0"/>
    <w:rsid w:val="006B3B33"/>
    <w:rsid w:val="006B456A"/>
    <w:rsid w:val="006B5401"/>
    <w:rsid w:val="006B7000"/>
    <w:rsid w:val="006B76B6"/>
    <w:rsid w:val="006B7866"/>
    <w:rsid w:val="006B7978"/>
    <w:rsid w:val="006C0CB7"/>
    <w:rsid w:val="006C19A6"/>
    <w:rsid w:val="006C1CD6"/>
    <w:rsid w:val="006C24F0"/>
    <w:rsid w:val="006C4613"/>
    <w:rsid w:val="006C4D76"/>
    <w:rsid w:val="006C4F59"/>
    <w:rsid w:val="006C5C71"/>
    <w:rsid w:val="006C5E88"/>
    <w:rsid w:val="006C721B"/>
    <w:rsid w:val="006D013A"/>
    <w:rsid w:val="006D0750"/>
    <w:rsid w:val="006D09BE"/>
    <w:rsid w:val="006D10FB"/>
    <w:rsid w:val="006D1318"/>
    <w:rsid w:val="006D15AE"/>
    <w:rsid w:val="006D3529"/>
    <w:rsid w:val="006D3760"/>
    <w:rsid w:val="006D3F85"/>
    <w:rsid w:val="006D45FC"/>
    <w:rsid w:val="006D4AE4"/>
    <w:rsid w:val="006D51AD"/>
    <w:rsid w:val="006D56DE"/>
    <w:rsid w:val="006D576A"/>
    <w:rsid w:val="006D5802"/>
    <w:rsid w:val="006D64BF"/>
    <w:rsid w:val="006D6604"/>
    <w:rsid w:val="006D70C9"/>
    <w:rsid w:val="006E014D"/>
    <w:rsid w:val="006E0452"/>
    <w:rsid w:val="006E0797"/>
    <w:rsid w:val="006E16DC"/>
    <w:rsid w:val="006E2388"/>
    <w:rsid w:val="006E2669"/>
    <w:rsid w:val="006E449A"/>
    <w:rsid w:val="006E458E"/>
    <w:rsid w:val="006E4CC0"/>
    <w:rsid w:val="006E556E"/>
    <w:rsid w:val="006E5B8E"/>
    <w:rsid w:val="006E5F5F"/>
    <w:rsid w:val="006E672D"/>
    <w:rsid w:val="006E6B7F"/>
    <w:rsid w:val="006E6FA0"/>
    <w:rsid w:val="006F0D22"/>
    <w:rsid w:val="006F0EB6"/>
    <w:rsid w:val="006F1B60"/>
    <w:rsid w:val="006F2420"/>
    <w:rsid w:val="006F3F7B"/>
    <w:rsid w:val="006F4190"/>
    <w:rsid w:val="006F4783"/>
    <w:rsid w:val="00700023"/>
    <w:rsid w:val="00701890"/>
    <w:rsid w:val="00701CA4"/>
    <w:rsid w:val="00702D4F"/>
    <w:rsid w:val="00704292"/>
    <w:rsid w:val="00704BE8"/>
    <w:rsid w:val="00705CBF"/>
    <w:rsid w:val="00706259"/>
    <w:rsid w:val="007062C2"/>
    <w:rsid w:val="007066DD"/>
    <w:rsid w:val="0071305C"/>
    <w:rsid w:val="00713F99"/>
    <w:rsid w:val="00715145"/>
    <w:rsid w:val="00715512"/>
    <w:rsid w:val="0071629D"/>
    <w:rsid w:val="0071714A"/>
    <w:rsid w:val="0072060E"/>
    <w:rsid w:val="0072064B"/>
    <w:rsid w:val="00720F81"/>
    <w:rsid w:val="00721287"/>
    <w:rsid w:val="007223D7"/>
    <w:rsid w:val="00722A68"/>
    <w:rsid w:val="00723B26"/>
    <w:rsid w:val="00725C8E"/>
    <w:rsid w:val="00726179"/>
    <w:rsid w:val="007271BF"/>
    <w:rsid w:val="00727B6D"/>
    <w:rsid w:val="0073112A"/>
    <w:rsid w:val="007318FD"/>
    <w:rsid w:val="00731D08"/>
    <w:rsid w:val="00732038"/>
    <w:rsid w:val="007362D7"/>
    <w:rsid w:val="00736B02"/>
    <w:rsid w:val="007377CB"/>
    <w:rsid w:val="007409A6"/>
    <w:rsid w:val="00740A28"/>
    <w:rsid w:val="00740A39"/>
    <w:rsid w:val="00740E5F"/>
    <w:rsid w:val="007410AB"/>
    <w:rsid w:val="007420E5"/>
    <w:rsid w:val="00742DFD"/>
    <w:rsid w:val="007436B8"/>
    <w:rsid w:val="0074605E"/>
    <w:rsid w:val="00750938"/>
    <w:rsid w:val="007536FE"/>
    <w:rsid w:val="007538DD"/>
    <w:rsid w:val="007547AB"/>
    <w:rsid w:val="00754908"/>
    <w:rsid w:val="007551E4"/>
    <w:rsid w:val="00755652"/>
    <w:rsid w:val="00755EE2"/>
    <w:rsid w:val="00756404"/>
    <w:rsid w:val="0075728F"/>
    <w:rsid w:val="007574DB"/>
    <w:rsid w:val="007604F7"/>
    <w:rsid w:val="00760719"/>
    <w:rsid w:val="007607F6"/>
    <w:rsid w:val="0076137B"/>
    <w:rsid w:val="00761550"/>
    <w:rsid w:val="00763631"/>
    <w:rsid w:val="00765B51"/>
    <w:rsid w:val="0076614A"/>
    <w:rsid w:val="0076749D"/>
    <w:rsid w:val="00767804"/>
    <w:rsid w:val="007678CA"/>
    <w:rsid w:val="00767C25"/>
    <w:rsid w:val="00771131"/>
    <w:rsid w:val="007713D3"/>
    <w:rsid w:val="00772230"/>
    <w:rsid w:val="00772969"/>
    <w:rsid w:val="00772A04"/>
    <w:rsid w:val="00774643"/>
    <w:rsid w:val="007750D3"/>
    <w:rsid w:val="00775D89"/>
    <w:rsid w:val="00776504"/>
    <w:rsid w:val="007770E3"/>
    <w:rsid w:val="007771AA"/>
    <w:rsid w:val="0077730B"/>
    <w:rsid w:val="0077799D"/>
    <w:rsid w:val="00780367"/>
    <w:rsid w:val="00782088"/>
    <w:rsid w:val="0078243E"/>
    <w:rsid w:val="00782AF4"/>
    <w:rsid w:val="00783111"/>
    <w:rsid w:val="00783332"/>
    <w:rsid w:val="007839D5"/>
    <w:rsid w:val="00784C30"/>
    <w:rsid w:val="00784E5B"/>
    <w:rsid w:val="0078618D"/>
    <w:rsid w:val="00786867"/>
    <w:rsid w:val="00786EB8"/>
    <w:rsid w:val="00790B15"/>
    <w:rsid w:val="00791173"/>
    <w:rsid w:val="00791CB1"/>
    <w:rsid w:val="00791EDB"/>
    <w:rsid w:val="00792B2A"/>
    <w:rsid w:val="0079348D"/>
    <w:rsid w:val="007957C4"/>
    <w:rsid w:val="0079679B"/>
    <w:rsid w:val="007970A3"/>
    <w:rsid w:val="00797B0D"/>
    <w:rsid w:val="00797D16"/>
    <w:rsid w:val="007A06EF"/>
    <w:rsid w:val="007A10D4"/>
    <w:rsid w:val="007A1998"/>
    <w:rsid w:val="007A28EC"/>
    <w:rsid w:val="007A3CD5"/>
    <w:rsid w:val="007A4420"/>
    <w:rsid w:val="007A4AF3"/>
    <w:rsid w:val="007A5923"/>
    <w:rsid w:val="007A5AC9"/>
    <w:rsid w:val="007A7EC2"/>
    <w:rsid w:val="007B02B6"/>
    <w:rsid w:val="007B0EF5"/>
    <w:rsid w:val="007B17FF"/>
    <w:rsid w:val="007B1C53"/>
    <w:rsid w:val="007B2241"/>
    <w:rsid w:val="007B27AF"/>
    <w:rsid w:val="007B289F"/>
    <w:rsid w:val="007B29E4"/>
    <w:rsid w:val="007B31C0"/>
    <w:rsid w:val="007B42A5"/>
    <w:rsid w:val="007B4327"/>
    <w:rsid w:val="007B4A07"/>
    <w:rsid w:val="007B51B8"/>
    <w:rsid w:val="007B5928"/>
    <w:rsid w:val="007B7EBD"/>
    <w:rsid w:val="007C279B"/>
    <w:rsid w:val="007C281F"/>
    <w:rsid w:val="007C2C26"/>
    <w:rsid w:val="007C3A45"/>
    <w:rsid w:val="007C3D6A"/>
    <w:rsid w:val="007C3DF7"/>
    <w:rsid w:val="007C429A"/>
    <w:rsid w:val="007C4B32"/>
    <w:rsid w:val="007C5189"/>
    <w:rsid w:val="007C53A5"/>
    <w:rsid w:val="007C58FA"/>
    <w:rsid w:val="007C64B8"/>
    <w:rsid w:val="007D089B"/>
    <w:rsid w:val="007D17D3"/>
    <w:rsid w:val="007D257A"/>
    <w:rsid w:val="007D2784"/>
    <w:rsid w:val="007D4F60"/>
    <w:rsid w:val="007D5748"/>
    <w:rsid w:val="007D5ACC"/>
    <w:rsid w:val="007D5D4E"/>
    <w:rsid w:val="007D6540"/>
    <w:rsid w:val="007D66B6"/>
    <w:rsid w:val="007D7F82"/>
    <w:rsid w:val="007E022B"/>
    <w:rsid w:val="007E048F"/>
    <w:rsid w:val="007E0D7A"/>
    <w:rsid w:val="007E23A5"/>
    <w:rsid w:val="007E2A2A"/>
    <w:rsid w:val="007E3681"/>
    <w:rsid w:val="007E3CED"/>
    <w:rsid w:val="007E48AE"/>
    <w:rsid w:val="007E57CE"/>
    <w:rsid w:val="007E66BD"/>
    <w:rsid w:val="007E6ACF"/>
    <w:rsid w:val="007E6BDC"/>
    <w:rsid w:val="007E6C21"/>
    <w:rsid w:val="007E7144"/>
    <w:rsid w:val="007E73E6"/>
    <w:rsid w:val="007E73FE"/>
    <w:rsid w:val="007E7DCC"/>
    <w:rsid w:val="007F0590"/>
    <w:rsid w:val="007F09A1"/>
    <w:rsid w:val="007F14D3"/>
    <w:rsid w:val="007F15CC"/>
    <w:rsid w:val="007F17CB"/>
    <w:rsid w:val="007F25D7"/>
    <w:rsid w:val="007F2F91"/>
    <w:rsid w:val="007F3418"/>
    <w:rsid w:val="007F36E5"/>
    <w:rsid w:val="007F3977"/>
    <w:rsid w:val="007F4170"/>
    <w:rsid w:val="007F4A96"/>
    <w:rsid w:val="007F5AA0"/>
    <w:rsid w:val="007F6474"/>
    <w:rsid w:val="007F71B1"/>
    <w:rsid w:val="008009E7"/>
    <w:rsid w:val="00801110"/>
    <w:rsid w:val="008014CF"/>
    <w:rsid w:val="00802114"/>
    <w:rsid w:val="00803376"/>
    <w:rsid w:val="00804920"/>
    <w:rsid w:val="00806248"/>
    <w:rsid w:val="00807BF1"/>
    <w:rsid w:val="00807EE2"/>
    <w:rsid w:val="00810147"/>
    <w:rsid w:val="00810332"/>
    <w:rsid w:val="008103D4"/>
    <w:rsid w:val="00811317"/>
    <w:rsid w:val="00811C9B"/>
    <w:rsid w:val="008127DA"/>
    <w:rsid w:val="00812A11"/>
    <w:rsid w:val="00812B13"/>
    <w:rsid w:val="00813E8A"/>
    <w:rsid w:val="00814F28"/>
    <w:rsid w:val="008157CE"/>
    <w:rsid w:val="00816046"/>
    <w:rsid w:val="00817501"/>
    <w:rsid w:val="00817EB4"/>
    <w:rsid w:val="008216BF"/>
    <w:rsid w:val="0082177B"/>
    <w:rsid w:val="0082187C"/>
    <w:rsid w:val="0082191C"/>
    <w:rsid w:val="00824F1B"/>
    <w:rsid w:val="00825807"/>
    <w:rsid w:val="00826DB3"/>
    <w:rsid w:val="0083074B"/>
    <w:rsid w:val="00830F32"/>
    <w:rsid w:val="008311BA"/>
    <w:rsid w:val="008311D2"/>
    <w:rsid w:val="00831879"/>
    <w:rsid w:val="00832391"/>
    <w:rsid w:val="00832B0C"/>
    <w:rsid w:val="00832E67"/>
    <w:rsid w:val="00833118"/>
    <w:rsid w:val="00833BEF"/>
    <w:rsid w:val="00833E5C"/>
    <w:rsid w:val="008342E1"/>
    <w:rsid w:val="00834BB3"/>
    <w:rsid w:val="008359B9"/>
    <w:rsid w:val="00837D55"/>
    <w:rsid w:val="00837EE0"/>
    <w:rsid w:val="0084102B"/>
    <w:rsid w:val="00841ACA"/>
    <w:rsid w:val="008423E8"/>
    <w:rsid w:val="00842787"/>
    <w:rsid w:val="00843486"/>
    <w:rsid w:val="008435F1"/>
    <w:rsid w:val="00843CDC"/>
    <w:rsid w:val="00843E92"/>
    <w:rsid w:val="00844219"/>
    <w:rsid w:val="0084424F"/>
    <w:rsid w:val="00844D99"/>
    <w:rsid w:val="00845185"/>
    <w:rsid w:val="00845EE9"/>
    <w:rsid w:val="00847940"/>
    <w:rsid w:val="00847AA0"/>
    <w:rsid w:val="00847F11"/>
    <w:rsid w:val="00850865"/>
    <w:rsid w:val="00851408"/>
    <w:rsid w:val="008522D5"/>
    <w:rsid w:val="008528E9"/>
    <w:rsid w:val="008535C3"/>
    <w:rsid w:val="00853D75"/>
    <w:rsid w:val="008551A4"/>
    <w:rsid w:val="00855A6A"/>
    <w:rsid w:val="00856B86"/>
    <w:rsid w:val="0085712D"/>
    <w:rsid w:val="008572E6"/>
    <w:rsid w:val="00857BA4"/>
    <w:rsid w:val="00860EEC"/>
    <w:rsid w:val="00861D13"/>
    <w:rsid w:val="00861E52"/>
    <w:rsid w:val="00862A1B"/>
    <w:rsid w:val="00862B67"/>
    <w:rsid w:val="00862D38"/>
    <w:rsid w:val="00864334"/>
    <w:rsid w:val="008646AA"/>
    <w:rsid w:val="00864818"/>
    <w:rsid w:val="0086485C"/>
    <w:rsid w:val="00864E78"/>
    <w:rsid w:val="00865467"/>
    <w:rsid w:val="00865F19"/>
    <w:rsid w:val="00865FC7"/>
    <w:rsid w:val="00866098"/>
    <w:rsid w:val="0086652A"/>
    <w:rsid w:val="00866536"/>
    <w:rsid w:val="008675A6"/>
    <w:rsid w:val="00867D81"/>
    <w:rsid w:val="00871520"/>
    <w:rsid w:val="00871750"/>
    <w:rsid w:val="0087238B"/>
    <w:rsid w:val="008727C2"/>
    <w:rsid w:val="00873359"/>
    <w:rsid w:val="00873C27"/>
    <w:rsid w:val="00874E23"/>
    <w:rsid w:val="008750F8"/>
    <w:rsid w:val="0087552A"/>
    <w:rsid w:val="00875BAC"/>
    <w:rsid w:val="00876089"/>
    <w:rsid w:val="0087668F"/>
    <w:rsid w:val="00876839"/>
    <w:rsid w:val="00877BBF"/>
    <w:rsid w:val="00880499"/>
    <w:rsid w:val="00881716"/>
    <w:rsid w:val="00882899"/>
    <w:rsid w:val="008829F2"/>
    <w:rsid w:val="00882E0E"/>
    <w:rsid w:val="008842F0"/>
    <w:rsid w:val="00884655"/>
    <w:rsid w:val="00884CB5"/>
    <w:rsid w:val="00885783"/>
    <w:rsid w:val="00885816"/>
    <w:rsid w:val="008858D2"/>
    <w:rsid w:val="00886685"/>
    <w:rsid w:val="00886900"/>
    <w:rsid w:val="00890129"/>
    <w:rsid w:val="008922FD"/>
    <w:rsid w:val="00893B84"/>
    <w:rsid w:val="00893F3A"/>
    <w:rsid w:val="00895E4A"/>
    <w:rsid w:val="00896C6C"/>
    <w:rsid w:val="00896E17"/>
    <w:rsid w:val="00896E4A"/>
    <w:rsid w:val="00897344"/>
    <w:rsid w:val="00897535"/>
    <w:rsid w:val="008A0781"/>
    <w:rsid w:val="008A09F2"/>
    <w:rsid w:val="008A184B"/>
    <w:rsid w:val="008A2102"/>
    <w:rsid w:val="008A31C1"/>
    <w:rsid w:val="008A3264"/>
    <w:rsid w:val="008A3313"/>
    <w:rsid w:val="008A3643"/>
    <w:rsid w:val="008A3868"/>
    <w:rsid w:val="008A3A09"/>
    <w:rsid w:val="008A59F2"/>
    <w:rsid w:val="008A65FC"/>
    <w:rsid w:val="008A74DB"/>
    <w:rsid w:val="008B05FD"/>
    <w:rsid w:val="008B1CB1"/>
    <w:rsid w:val="008B1CCE"/>
    <w:rsid w:val="008B21E8"/>
    <w:rsid w:val="008B286B"/>
    <w:rsid w:val="008B2FC9"/>
    <w:rsid w:val="008B3490"/>
    <w:rsid w:val="008B37B6"/>
    <w:rsid w:val="008B395C"/>
    <w:rsid w:val="008B3A25"/>
    <w:rsid w:val="008B3CC4"/>
    <w:rsid w:val="008B3D4A"/>
    <w:rsid w:val="008B4A4B"/>
    <w:rsid w:val="008B4BED"/>
    <w:rsid w:val="008B4E2E"/>
    <w:rsid w:val="008B6658"/>
    <w:rsid w:val="008B6B85"/>
    <w:rsid w:val="008B6EA1"/>
    <w:rsid w:val="008B7199"/>
    <w:rsid w:val="008B764F"/>
    <w:rsid w:val="008C027B"/>
    <w:rsid w:val="008C049D"/>
    <w:rsid w:val="008C102C"/>
    <w:rsid w:val="008C1283"/>
    <w:rsid w:val="008C1FDA"/>
    <w:rsid w:val="008C2756"/>
    <w:rsid w:val="008C3512"/>
    <w:rsid w:val="008C4228"/>
    <w:rsid w:val="008C4359"/>
    <w:rsid w:val="008C6597"/>
    <w:rsid w:val="008C6688"/>
    <w:rsid w:val="008C6B28"/>
    <w:rsid w:val="008C7491"/>
    <w:rsid w:val="008C77C5"/>
    <w:rsid w:val="008D0955"/>
    <w:rsid w:val="008D0C3B"/>
    <w:rsid w:val="008D0EAF"/>
    <w:rsid w:val="008D10C8"/>
    <w:rsid w:val="008D39B8"/>
    <w:rsid w:val="008D424D"/>
    <w:rsid w:val="008D4765"/>
    <w:rsid w:val="008D4E06"/>
    <w:rsid w:val="008D513F"/>
    <w:rsid w:val="008D5564"/>
    <w:rsid w:val="008D5A61"/>
    <w:rsid w:val="008D655C"/>
    <w:rsid w:val="008D68EF"/>
    <w:rsid w:val="008D6D0A"/>
    <w:rsid w:val="008D703C"/>
    <w:rsid w:val="008E05FB"/>
    <w:rsid w:val="008E0A38"/>
    <w:rsid w:val="008E101A"/>
    <w:rsid w:val="008E10A4"/>
    <w:rsid w:val="008E14F2"/>
    <w:rsid w:val="008E1794"/>
    <w:rsid w:val="008E35E4"/>
    <w:rsid w:val="008E40EF"/>
    <w:rsid w:val="008E43BE"/>
    <w:rsid w:val="008E4878"/>
    <w:rsid w:val="008E49A5"/>
    <w:rsid w:val="008E51E1"/>
    <w:rsid w:val="008E6E7F"/>
    <w:rsid w:val="008E7148"/>
    <w:rsid w:val="008E7300"/>
    <w:rsid w:val="008E7C6F"/>
    <w:rsid w:val="008F0373"/>
    <w:rsid w:val="008F0C6B"/>
    <w:rsid w:val="008F3193"/>
    <w:rsid w:val="008F3556"/>
    <w:rsid w:val="008F3FB6"/>
    <w:rsid w:val="008F4178"/>
    <w:rsid w:val="008F43F3"/>
    <w:rsid w:val="008F4A62"/>
    <w:rsid w:val="008F4FF9"/>
    <w:rsid w:val="008F57F1"/>
    <w:rsid w:val="008F5B2E"/>
    <w:rsid w:val="008F6A2F"/>
    <w:rsid w:val="008F6C3C"/>
    <w:rsid w:val="008F6EE4"/>
    <w:rsid w:val="008F74D9"/>
    <w:rsid w:val="008F7A35"/>
    <w:rsid w:val="008F7A4F"/>
    <w:rsid w:val="009001FC"/>
    <w:rsid w:val="00900BFC"/>
    <w:rsid w:val="00901D29"/>
    <w:rsid w:val="00902188"/>
    <w:rsid w:val="00903613"/>
    <w:rsid w:val="0090368D"/>
    <w:rsid w:val="009036D8"/>
    <w:rsid w:val="00903CA2"/>
    <w:rsid w:val="00904D59"/>
    <w:rsid w:val="00905C49"/>
    <w:rsid w:val="00905CD9"/>
    <w:rsid w:val="00905EB5"/>
    <w:rsid w:val="00906AA7"/>
    <w:rsid w:val="00906C7C"/>
    <w:rsid w:val="0090771C"/>
    <w:rsid w:val="009079F4"/>
    <w:rsid w:val="00907F13"/>
    <w:rsid w:val="009107F0"/>
    <w:rsid w:val="00911035"/>
    <w:rsid w:val="00912D32"/>
    <w:rsid w:val="00913519"/>
    <w:rsid w:val="00913A55"/>
    <w:rsid w:val="00913F73"/>
    <w:rsid w:val="00914558"/>
    <w:rsid w:val="00914958"/>
    <w:rsid w:val="00914E84"/>
    <w:rsid w:val="00914F60"/>
    <w:rsid w:val="00915059"/>
    <w:rsid w:val="0091591C"/>
    <w:rsid w:val="00915BCD"/>
    <w:rsid w:val="00916BD4"/>
    <w:rsid w:val="00917496"/>
    <w:rsid w:val="00917A77"/>
    <w:rsid w:val="00920595"/>
    <w:rsid w:val="009207C0"/>
    <w:rsid w:val="00920911"/>
    <w:rsid w:val="00920A31"/>
    <w:rsid w:val="00920D46"/>
    <w:rsid w:val="009210CA"/>
    <w:rsid w:val="009216C0"/>
    <w:rsid w:val="009231F4"/>
    <w:rsid w:val="0092518E"/>
    <w:rsid w:val="00925C51"/>
    <w:rsid w:val="00926D5E"/>
    <w:rsid w:val="009276F3"/>
    <w:rsid w:val="00927865"/>
    <w:rsid w:val="00927912"/>
    <w:rsid w:val="009279F5"/>
    <w:rsid w:val="00930DB3"/>
    <w:rsid w:val="0093172B"/>
    <w:rsid w:val="00931D9F"/>
    <w:rsid w:val="0093285C"/>
    <w:rsid w:val="00932B15"/>
    <w:rsid w:val="00933008"/>
    <w:rsid w:val="009336A0"/>
    <w:rsid w:val="00934066"/>
    <w:rsid w:val="00934A64"/>
    <w:rsid w:val="009367EE"/>
    <w:rsid w:val="00936E47"/>
    <w:rsid w:val="0094051B"/>
    <w:rsid w:val="00940A32"/>
    <w:rsid w:val="00940A62"/>
    <w:rsid w:val="00940BCC"/>
    <w:rsid w:val="00941167"/>
    <w:rsid w:val="0094121A"/>
    <w:rsid w:val="009421F1"/>
    <w:rsid w:val="0094230A"/>
    <w:rsid w:val="00942ACF"/>
    <w:rsid w:val="00943240"/>
    <w:rsid w:val="0094368D"/>
    <w:rsid w:val="00943AA9"/>
    <w:rsid w:val="009459CE"/>
    <w:rsid w:val="00945ED1"/>
    <w:rsid w:val="009464AB"/>
    <w:rsid w:val="00946B6F"/>
    <w:rsid w:val="009477BC"/>
    <w:rsid w:val="00947D01"/>
    <w:rsid w:val="00947F99"/>
    <w:rsid w:val="009505CA"/>
    <w:rsid w:val="00951520"/>
    <w:rsid w:val="0095158C"/>
    <w:rsid w:val="0095381D"/>
    <w:rsid w:val="009553B7"/>
    <w:rsid w:val="0095625A"/>
    <w:rsid w:val="0095670E"/>
    <w:rsid w:val="009568B6"/>
    <w:rsid w:val="00956CD7"/>
    <w:rsid w:val="00956F41"/>
    <w:rsid w:val="00957444"/>
    <w:rsid w:val="00957CED"/>
    <w:rsid w:val="00957E96"/>
    <w:rsid w:val="0096043F"/>
    <w:rsid w:val="00960C17"/>
    <w:rsid w:val="00960E75"/>
    <w:rsid w:val="00961903"/>
    <w:rsid w:val="00962765"/>
    <w:rsid w:val="0096309D"/>
    <w:rsid w:val="0096473C"/>
    <w:rsid w:val="00965360"/>
    <w:rsid w:val="009653AC"/>
    <w:rsid w:val="00966470"/>
    <w:rsid w:val="00967682"/>
    <w:rsid w:val="009704AF"/>
    <w:rsid w:val="00970957"/>
    <w:rsid w:val="0097113D"/>
    <w:rsid w:val="009716AE"/>
    <w:rsid w:val="0097191D"/>
    <w:rsid w:val="00972655"/>
    <w:rsid w:val="009728A8"/>
    <w:rsid w:val="00972A97"/>
    <w:rsid w:val="009731BC"/>
    <w:rsid w:val="00975B2B"/>
    <w:rsid w:val="009778B1"/>
    <w:rsid w:val="0098242A"/>
    <w:rsid w:val="00984557"/>
    <w:rsid w:val="00986CA1"/>
    <w:rsid w:val="00986D22"/>
    <w:rsid w:val="00986E7E"/>
    <w:rsid w:val="0098707F"/>
    <w:rsid w:val="00987B9B"/>
    <w:rsid w:val="00990C1B"/>
    <w:rsid w:val="00990F4E"/>
    <w:rsid w:val="00990F7E"/>
    <w:rsid w:val="009919B8"/>
    <w:rsid w:val="00991FC9"/>
    <w:rsid w:val="0099260B"/>
    <w:rsid w:val="0099263F"/>
    <w:rsid w:val="00992F78"/>
    <w:rsid w:val="0099343D"/>
    <w:rsid w:val="009947D6"/>
    <w:rsid w:val="00994B47"/>
    <w:rsid w:val="00994CAF"/>
    <w:rsid w:val="00994D01"/>
    <w:rsid w:val="00994F58"/>
    <w:rsid w:val="00995D13"/>
    <w:rsid w:val="00995FD4"/>
    <w:rsid w:val="0099702F"/>
    <w:rsid w:val="0099742E"/>
    <w:rsid w:val="009A082B"/>
    <w:rsid w:val="009A126A"/>
    <w:rsid w:val="009A25F0"/>
    <w:rsid w:val="009A2716"/>
    <w:rsid w:val="009A2B6B"/>
    <w:rsid w:val="009A3264"/>
    <w:rsid w:val="009A3E00"/>
    <w:rsid w:val="009A53C6"/>
    <w:rsid w:val="009A55ED"/>
    <w:rsid w:val="009A7F3B"/>
    <w:rsid w:val="009B1252"/>
    <w:rsid w:val="009B2D3A"/>
    <w:rsid w:val="009B4A32"/>
    <w:rsid w:val="009B6DD2"/>
    <w:rsid w:val="009B730E"/>
    <w:rsid w:val="009B73DF"/>
    <w:rsid w:val="009C1256"/>
    <w:rsid w:val="009C13DC"/>
    <w:rsid w:val="009C177C"/>
    <w:rsid w:val="009C1D08"/>
    <w:rsid w:val="009C1DA6"/>
    <w:rsid w:val="009C2052"/>
    <w:rsid w:val="009C37D9"/>
    <w:rsid w:val="009C3D6F"/>
    <w:rsid w:val="009C5250"/>
    <w:rsid w:val="009C532B"/>
    <w:rsid w:val="009C5707"/>
    <w:rsid w:val="009C62FB"/>
    <w:rsid w:val="009C6940"/>
    <w:rsid w:val="009C741F"/>
    <w:rsid w:val="009C78D5"/>
    <w:rsid w:val="009D1248"/>
    <w:rsid w:val="009D134F"/>
    <w:rsid w:val="009D1E90"/>
    <w:rsid w:val="009D2EDA"/>
    <w:rsid w:val="009D3B7D"/>
    <w:rsid w:val="009D3F41"/>
    <w:rsid w:val="009D3F89"/>
    <w:rsid w:val="009D40D9"/>
    <w:rsid w:val="009D52A6"/>
    <w:rsid w:val="009D6DC8"/>
    <w:rsid w:val="009D6F00"/>
    <w:rsid w:val="009E11C8"/>
    <w:rsid w:val="009E1F63"/>
    <w:rsid w:val="009E3308"/>
    <w:rsid w:val="009E355A"/>
    <w:rsid w:val="009E39C9"/>
    <w:rsid w:val="009E4EAD"/>
    <w:rsid w:val="009E6EE9"/>
    <w:rsid w:val="009E71A2"/>
    <w:rsid w:val="009E7824"/>
    <w:rsid w:val="009E7B22"/>
    <w:rsid w:val="009F11B8"/>
    <w:rsid w:val="009F19BD"/>
    <w:rsid w:val="009F1A50"/>
    <w:rsid w:val="009F304E"/>
    <w:rsid w:val="009F3087"/>
    <w:rsid w:val="009F4FDD"/>
    <w:rsid w:val="009F5305"/>
    <w:rsid w:val="009F6BB4"/>
    <w:rsid w:val="009F6D48"/>
    <w:rsid w:val="009F6D91"/>
    <w:rsid w:val="009F6E63"/>
    <w:rsid w:val="00A003E6"/>
    <w:rsid w:val="00A00F02"/>
    <w:rsid w:val="00A0177B"/>
    <w:rsid w:val="00A019BC"/>
    <w:rsid w:val="00A02246"/>
    <w:rsid w:val="00A0244B"/>
    <w:rsid w:val="00A033FD"/>
    <w:rsid w:val="00A044C1"/>
    <w:rsid w:val="00A04670"/>
    <w:rsid w:val="00A0483E"/>
    <w:rsid w:val="00A049BB"/>
    <w:rsid w:val="00A05AA7"/>
    <w:rsid w:val="00A077E5"/>
    <w:rsid w:val="00A07D5F"/>
    <w:rsid w:val="00A10F0A"/>
    <w:rsid w:val="00A11264"/>
    <w:rsid w:val="00A112D8"/>
    <w:rsid w:val="00A11783"/>
    <w:rsid w:val="00A11784"/>
    <w:rsid w:val="00A11CF9"/>
    <w:rsid w:val="00A13E37"/>
    <w:rsid w:val="00A147A3"/>
    <w:rsid w:val="00A16564"/>
    <w:rsid w:val="00A16DFE"/>
    <w:rsid w:val="00A22714"/>
    <w:rsid w:val="00A22F4D"/>
    <w:rsid w:val="00A23281"/>
    <w:rsid w:val="00A232C6"/>
    <w:rsid w:val="00A23450"/>
    <w:rsid w:val="00A2374C"/>
    <w:rsid w:val="00A23BF3"/>
    <w:rsid w:val="00A24B60"/>
    <w:rsid w:val="00A25615"/>
    <w:rsid w:val="00A25FF2"/>
    <w:rsid w:val="00A268ED"/>
    <w:rsid w:val="00A27169"/>
    <w:rsid w:val="00A27635"/>
    <w:rsid w:val="00A27FE9"/>
    <w:rsid w:val="00A305B2"/>
    <w:rsid w:val="00A30B62"/>
    <w:rsid w:val="00A30FB8"/>
    <w:rsid w:val="00A31E5A"/>
    <w:rsid w:val="00A32498"/>
    <w:rsid w:val="00A35493"/>
    <w:rsid w:val="00A40D62"/>
    <w:rsid w:val="00A414F7"/>
    <w:rsid w:val="00A41556"/>
    <w:rsid w:val="00A4156F"/>
    <w:rsid w:val="00A41E31"/>
    <w:rsid w:val="00A41E75"/>
    <w:rsid w:val="00A421C8"/>
    <w:rsid w:val="00A42383"/>
    <w:rsid w:val="00A43360"/>
    <w:rsid w:val="00A43370"/>
    <w:rsid w:val="00A43A9E"/>
    <w:rsid w:val="00A43EE1"/>
    <w:rsid w:val="00A43F46"/>
    <w:rsid w:val="00A43F47"/>
    <w:rsid w:val="00A45001"/>
    <w:rsid w:val="00A45701"/>
    <w:rsid w:val="00A45A10"/>
    <w:rsid w:val="00A45D6A"/>
    <w:rsid w:val="00A46B7D"/>
    <w:rsid w:val="00A46FF3"/>
    <w:rsid w:val="00A4702E"/>
    <w:rsid w:val="00A47397"/>
    <w:rsid w:val="00A47548"/>
    <w:rsid w:val="00A47B8E"/>
    <w:rsid w:val="00A502D3"/>
    <w:rsid w:val="00A50552"/>
    <w:rsid w:val="00A518F0"/>
    <w:rsid w:val="00A51C0B"/>
    <w:rsid w:val="00A51EA6"/>
    <w:rsid w:val="00A52243"/>
    <w:rsid w:val="00A52372"/>
    <w:rsid w:val="00A56F08"/>
    <w:rsid w:val="00A604DB"/>
    <w:rsid w:val="00A60733"/>
    <w:rsid w:val="00A613F0"/>
    <w:rsid w:val="00A616BB"/>
    <w:rsid w:val="00A61B63"/>
    <w:rsid w:val="00A61F05"/>
    <w:rsid w:val="00A62FAD"/>
    <w:rsid w:val="00A6362C"/>
    <w:rsid w:val="00A641CA"/>
    <w:rsid w:val="00A64221"/>
    <w:rsid w:val="00A64641"/>
    <w:rsid w:val="00A65192"/>
    <w:rsid w:val="00A65899"/>
    <w:rsid w:val="00A65E7C"/>
    <w:rsid w:val="00A675EF"/>
    <w:rsid w:val="00A67E22"/>
    <w:rsid w:val="00A709A0"/>
    <w:rsid w:val="00A72914"/>
    <w:rsid w:val="00A72ECE"/>
    <w:rsid w:val="00A739C5"/>
    <w:rsid w:val="00A73C73"/>
    <w:rsid w:val="00A7409A"/>
    <w:rsid w:val="00A744E8"/>
    <w:rsid w:val="00A74975"/>
    <w:rsid w:val="00A74D86"/>
    <w:rsid w:val="00A74D91"/>
    <w:rsid w:val="00A750D5"/>
    <w:rsid w:val="00A753EA"/>
    <w:rsid w:val="00A75B7A"/>
    <w:rsid w:val="00A7611C"/>
    <w:rsid w:val="00A7628A"/>
    <w:rsid w:val="00A7638E"/>
    <w:rsid w:val="00A76662"/>
    <w:rsid w:val="00A76E14"/>
    <w:rsid w:val="00A77E10"/>
    <w:rsid w:val="00A806C1"/>
    <w:rsid w:val="00A8141D"/>
    <w:rsid w:val="00A8168B"/>
    <w:rsid w:val="00A82801"/>
    <w:rsid w:val="00A834C5"/>
    <w:rsid w:val="00A843CF"/>
    <w:rsid w:val="00A84ED6"/>
    <w:rsid w:val="00A850CD"/>
    <w:rsid w:val="00A85C76"/>
    <w:rsid w:val="00A861BF"/>
    <w:rsid w:val="00A865B8"/>
    <w:rsid w:val="00A86BA2"/>
    <w:rsid w:val="00A86FBB"/>
    <w:rsid w:val="00A87D42"/>
    <w:rsid w:val="00A87E64"/>
    <w:rsid w:val="00A91F3A"/>
    <w:rsid w:val="00A92068"/>
    <w:rsid w:val="00A9209E"/>
    <w:rsid w:val="00A93893"/>
    <w:rsid w:val="00A938B4"/>
    <w:rsid w:val="00A93AA3"/>
    <w:rsid w:val="00A93CCE"/>
    <w:rsid w:val="00A940F4"/>
    <w:rsid w:val="00A94BDA"/>
    <w:rsid w:val="00A96BE4"/>
    <w:rsid w:val="00A970E5"/>
    <w:rsid w:val="00A97443"/>
    <w:rsid w:val="00A97F37"/>
    <w:rsid w:val="00AA0EBE"/>
    <w:rsid w:val="00AA1187"/>
    <w:rsid w:val="00AA127F"/>
    <w:rsid w:val="00AA1557"/>
    <w:rsid w:val="00AA15AC"/>
    <w:rsid w:val="00AA1B99"/>
    <w:rsid w:val="00AA2291"/>
    <w:rsid w:val="00AA2816"/>
    <w:rsid w:val="00AA3BC8"/>
    <w:rsid w:val="00AA41A5"/>
    <w:rsid w:val="00AA41A8"/>
    <w:rsid w:val="00AA59E6"/>
    <w:rsid w:val="00AA5CC6"/>
    <w:rsid w:val="00AA6A0E"/>
    <w:rsid w:val="00AA730D"/>
    <w:rsid w:val="00AA7874"/>
    <w:rsid w:val="00AA7BBA"/>
    <w:rsid w:val="00AB091F"/>
    <w:rsid w:val="00AB0AD3"/>
    <w:rsid w:val="00AB0E43"/>
    <w:rsid w:val="00AB181E"/>
    <w:rsid w:val="00AB243E"/>
    <w:rsid w:val="00AB298D"/>
    <w:rsid w:val="00AB2D26"/>
    <w:rsid w:val="00AB3278"/>
    <w:rsid w:val="00AB3C8D"/>
    <w:rsid w:val="00AB3D6A"/>
    <w:rsid w:val="00AB3E12"/>
    <w:rsid w:val="00AB4A47"/>
    <w:rsid w:val="00AB75C7"/>
    <w:rsid w:val="00AC0399"/>
    <w:rsid w:val="00AC0739"/>
    <w:rsid w:val="00AC0855"/>
    <w:rsid w:val="00AC10D2"/>
    <w:rsid w:val="00AC1204"/>
    <w:rsid w:val="00AC3451"/>
    <w:rsid w:val="00AC351F"/>
    <w:rsid w:val="00AC3F2A"/>
    <w:rsid w:val="00AC4204"/>
    <w:rsid w:val="00AC54E1"/>
    <w:rsid w:val="00AC6FFB"/>
    <w:rsid w:val="00AD0E08"/>
    <w:rsid w:val="00AD0FBF"/>
    <w:rsid w:val="00AD10A6"/>
    <w:rsid w:val="00AD174C"/>
    <w:rsid w:val="00AD1D3D"/>
    <w:rsid w:val="00AD33EE"/>
    <w:rsid w:val="00AD4184"/>
    <w:rsid w:val="00AD47F2"/>
    <w:rsid w:val="00AD49E7"/>
    <w:rsid w:val="00AD4B56"/>
    <w:rsid w:val="00AD5EE9"/>
    <w:rsid w:val="00AD6F14"/>
    <w:rsid w:val="00AD7204"/>
    <w:rsid w:val="00AD72B9"/>
    <w:rsid w:val="00AD7C2E"/>
    <w:rsid w:val="00AE11FF"/>
    <w:rsid w:val="00AE1E93"/>
    <w:rsid w:val="00AE3046"/>
    <w:rsid w:val="00AE3239"/>
    <w:rsid w:val="00AE47B4"/>
    <w:rsid w:val="00AE4848"/>
    <w:rsid w:val="00AE51F0"/>
    <w:rsid w:val="00AE67B2"/>
    <w:rsid w:val="00AE7587"/>
    <w:rsid w:val="00AF00DA"/>
    <w:rsid w:val="00AF026E"/>
    <w:rsid w:val="00AF0379"/>
    <w:rsid w:val="00AF085C"/>
    <w:rsid w:val="00AF1011"/>
    <w:rsid w:val="00AF14EC"/>
    <w:rsid w:val="00AF1714"/>
    <w:rsid w:val="00AF230D"/>
    <w:rsid w:val="00AF257E"/>
    <w:rsid w:val="00AF3255"/>
    <w:rsid w:val="00AF3772"/>
    <w:rsid w:val="00AF43BC"/>
    <w:rsid w:val="00AF529A"/>
    <w:rsid w:val="00AF6B16"/>
    <w:rsid w:val="00AF72D9"/>
    <w:rsid w:val="00AF7E6E"/>
    <w:rsid w:val="00B0025D"/>
    <w:rsid w:val="00B00284"/>
    <w:rsid w:val="00B00C88"/>
    <w:rsid w:val="00B012DB"/>
    <w:rsid w:val="00B02C95"/>
    <w:rsid w:val="00B03184"/>
    <w:rsid w:val="00B038ED"/>
    <w:rsid w:val="00B04289"/>
    <w:rsid w:val="00B045D0"/>
    <w:rsid w:val="00B04618"/>
    <w:rsid w:val="00B04A84"/>
    <w:rsid w:val="00B06808"/>
    <w:rsid w:val="00B10382"/>
    <w:rsid w:val="00B10BBD"/>
    <w:rsid w:val="00B10BDB"/>
    <w:rsid w:val="00B10FF4"/>
    <w:rsid w:val="00B11251"/>
    <w:rsid w:val="00B11661"/>
    <w:rsid w:val="00B12335"/>
    <w:rsid w:val="00B12574"/>
    <w:rsid w:val="00B13042"/>
    <w:rsid w:val="00B131A7"/>
    <w:rsid w:val="00B1325B"/>
    <w:rsid w:val="00B134A5"/>
    <w:rsid w:val="00B13721"/>
    <w:rsid w:val="00B14400"/>
    <w:rsid w:val="00B14A5D"/>
    <w:rsid w:val="00B14B67"/>
    <w:rsid w:val="00B14F4D"/>
    <w:rsid w:val="00B1503A"/>
    <w:rsid w:val="00B17052"/>
    <w:rsid w:val="00B17327"/>
    <w:rsid w:val="00B17632"/>
    <w:rsid w:val="00B17A87"/>
    <w:rsid w:val="00B17B6E"/>
    <w:rsid w:val="00B202DC"/>
    <w:rsid w:val="00B21C22"/>
    <w:rsid w:val="00B21C8B"/>
    <w:rsid w:val="00B22624"/>
    <w:rsid w:val="00B22EB0"/>
    <w:rsid w:val="00B23301"/>
    <w:rsid w:val="00B233D5"/>
    <w:rsid w:val="00B234D0"/>
    <w:rsid w:val="00B23A66"/>
    <w:rsid w:val="00B257AB"/>
    <w:rsid w:val="00B25B66"/>
    <w:rsid w:val="00B25D59"/>
    <w:rsid w:val="00B25DA3"/>
    <w:rsid w:val="00B272AD"/>
    <w:rsid w:val="00B31705"/>
    <w:rsid w:val="00B323B8"/>
    <w:rsid w:val="00B32AB1"/>
    <w:rsid w:val="00B358BD"/>
    <w:rsid w:val="00B36653"/>
    <w:rsid w:val="00B3668D"/>
    <w:rsid w:val="00B3694D"/>
    <w:rsid w:val="00B376F4"/>
    <w:rsid w:val="00B37E25"/>
    <w:rsid w:val="00B37F38"/>
    <w:rsid w:val="00B400D2"/>
    <w:rsid w:val="00B40AAA"/>
    <w:rsid w:val="00B41476"/>
    <w:rsid w:val="00B42302"/>
    <w:rsid w:val="00B44383"/>
    <w:rsid w:val="00B46D2A"/>
    <w:rsid w:val="00B46F2A"/>
    <w:rsid w:val="00B47654"/>
    <w:rsid w:val="00B47983"/>
    <w:rsid w:val="00B50709"/>
    <w:rsid w:val="00B50871"/>
    <w:rsid w:val="00B50F8C"/>
    <w:rsid w:val="00B518EF"/>
    <w:rsid w:val="00B523C7"/>
    <w:rsid w:val="00B525DF"/>
    <w:rsid w:val="00B53699"/>
    <w:rsid w:val="00B549E8"/>
    <w:rsid w:val="00B555B4"/>
    <w:rsid w:val="00B55D4A"/>
    <w:rsid w:val="00B55E21"/>
    <w:rsid w:val="00B561F3"/>
    <w:rsid w:val="00B5695E"/>
    <w:rsid w:val="00B56DBB"/>
    <w:rsid w:val="00B61283"/>
    <w:rsid w:val="00B6132B"/>
    <w:rsid w:val="00B61CDD"/>
    <w:rsid w:val="00B62462"/>
    <w:rsid w:val="00B6274C"/>
    <w:rsid w:val="00B63267"/>
    <w:rsid w:val="00B63312"/>
    <w:rsid w:val="00B63690"/>
    <w:rsid w:val="00B63EDE"/>
    <w:rsid w:val="00B64516"/>
    <w:rsid w:val="00B645E4"/>
    <w:rsid w:val="00B64692"/>
    <w:rsid w:val="00B64906"/>
    <w:rsid w:val="00B651D4"/>
    <w:rsid w:val="00B6525D"/>
    <w:rsid w:val="00B652DB"/>
    <w:rsid w:val="00B655D6"/>
    <w:rsid w:val="00B65BF9"/>
    <w:rsid w:val="00B66254"/>
    <w:rsid w:val="00B662C3"/>
    <w:rsid w:val="00B6653F"/>
    <w:rsid w:val="00B66E93"/>
    <w:rsid w:val="00B700D0"/>
    <w:rsid w:val="00B70C8F"/>
    <w:rsid w:val="00B710EA"/>
    <w:rsid w:val="00B71C2C"/>
    <w:rsid w:val="00B71EA0"/>
    <w:rsid w:val="00B73217"/>
    <w:rsid w:val="00B75998"/>
    <w:rsid w:val="00B75AF8"/>
    <w:rsid w:val="00B7647F"/>
    <w:rsid w:val="00B76E88"/>
    <w:rsid w:val="00B77475"/>
    <w:rsid w:val="00B80402"/>
    <w:rsid w:val="00B82412"/>
    <w:rsid w:val="00B8294F"/>
    <w:rsid w:val="00B82EE0"/>
    <w:rsid w:val="00B83E58"/>
    <w:rsid w:val="00B8494F"/>
    <w:rsid w:val="00B85496"/>
    <w:rsid w:val="00B85C3F"/>
    <w:rsid w:val="00B86324"/>
    <w:rsid w:val="00B87115"/>
    <w:rsid w:val="00B9015A"/>
    <w:rsid w:val="00B90CB8"/>
    <w:rsid w:val="00B92F54"/>
    <w:rsid w:val="00B93A74"/>
    <w:rsid w:val="00B93AFD"/>
    <w:rsid w:val="00B93ECF"/>
    <w:rsid w:val="00B95772"/>
    <w:rsid w:val="00B96FA4"/>
    <w:rsid w:val="00B97547"/>
    <w:rsid w:val="00B979AE"/>
    <w:rsid w:val="00BA05F6"/>
    <w:rsid w:val="00BA08B3"/>
    <w:rsid w:val="00BA1DC9"/>
    <w:rsid w:val="00BA2E91"/>
    <w:rsid w:val="00BA435B"/>
    <w:rsid w:val="00BA4529"/>
    <w:rsid w:val="00BA5001"/>
    <w:rsid w:val="00BA532E"/>
    <w:rsid w:val="00BA5DED"/>
    <w:rsid w:val="00BA601D"/>
    <w:rsid w:val="00BA622B"/>
    <w:rsid w:val="00BA6596"/>
    <w:rsid w:val="00BA6AB9"/>
    <w:rsid w:val="00BA6E04"/>
    <w:rsid w:val="00BA7C62"/>
    <w:rsid w:val="00BB19CA"/>
    <w:rsid w:val="00BB230D"/>
    <w:rsid w:val="00BB2895"/>
    <w:rsid w:val="00BB2DB5"/>
    <w:rsid w:val="00BB38FD"/>
    <w:rsid w:val="00BB3D89"/>
    <w:rsid w:val="00BB4012"/>
    <w:rsid w:val="00BB4805"/>
    <w:rsid w:val="00BB48A7"/>
    <w:rsid w:val="00BB588D"/>
    <w:rsid w:val="00BB5BF5"/>
    <w:rsid w:val="00BB74D4"/>
    <w:rsid w:val="00BB79DA"/>
    <w:rsid w:val="00BC1132"/>
    <w:rsid w:val="00BC154E"/>
    <w:rsid w:val="00BC1B25"/>
    <w:rsid w:val="00BC1CBF"/>
    <w:rsid w:val="00BC1D59"/>
    <w:rsid w:val="00BC1ECC"/>
    <w:rsid w:val="00BC34EA"/>
    <w:rsid w:val="00BC4173"/>
    <w:rsid w:val="00BC476E"/>
    <w:rsid w:val="00BC48FB"/>
    <w:rsid w:val="00BC4B3E"/>
    <w:rsid w:val="00BC5096"/>
    <w:rsid w:val="00BC5197"/>
    <w:rsid w:val="00BC555B"/>
    <w:rsid w:val="00BC64C9"/>
    <w:rsid w:val="00BC6841"/>
    <w:rsid w:val="00BC69D2"/>
    <w:rsid w:val="00BC6F6E"/>
    <w:rsid w:val="00BD0FCF"/>
    <w:rsid w:val="00BD15D3"/>
    <w:rsid w:val="00BD172B"/>
    <w:rsid w:val="00BD1A5C"/>
    <w:rsid w:val="00BD4474"/>
    <w:rsid w:val="00BD5584"/>
    <w:rsid w:val="00BD5A35"/>
    <w:rsid w:val="00BD62E3"/>
    <w:rsid w:val="00BD73ED"/>
    <w:rsid w:val="00BE004C"/>
    <w:rsid w:val="00BE062C"/>
    <w:rsid w:val="00BE10A1"/>
    <w:rsid w:val="00BE1261"/>
    <w:rsid w:val="00BE23F9"/>
    <w:rsid w:val="00BE3B96"/>
    <w:rsid w:val="00BE4F40"/>
    <w:rsid w:val="00BE569F"/>
    <w:rsid w:val="00BE58E8"/>
    <w:rsid w:val="00BE59DF"/>
    <w:rsid w:val="00BE5A4D"/>
    <w:rsid w:val="00BE68F3"/>
    <w:rsid w:val="00BE6EAF"/>
    <w:rsid w:val="00BE76C7"/>
    <w:rsid w:val="00BF0FBE"/>
    <w:rsid w:val="00BF189E"/>
    <w:rsid w:val="00BF24CA"/>
    <w:rsid w:val="00BF2B20"/>
    <w:rsid w:val="00BF32F2"/>
    <w:rsid w:val="00BF4DB1"/>
    <w:rsid w:val="00BF6357"/>
    <w:rsid w:val="00BF6622"/>
    <w:rsid w:val="00BF6B7E"/>
    <w:rsid w:val="00BF75DC"/>
    <w:rsid w:val="00C003BB"/>
    <w:rsid w:val="00C0086D"/>
    <w:rsid w:val="00C00B25"/>
    <w:rsid w:val="00C01A5A"/>
    <w:rsid w:val="00C026A8"/>
    <w:rsid w:val="00C03795"/>
    <w:rsid w:val="00C03C5B"/>
    <w:rsid w:val="00C03FB1"/>
    <w:rsid w:val="00C057A5"/>
    <w:rsid w:val="00C05E22"/>
    <w:rsid w:val="00C07634"/>
    <w:rsid w:val="00C07FB3"/>
    <w:rsid w:val="00C1162C"/>
    <w:rsid w:val="00C149A2"/>
    <w:rsid w:val="00C16430"/>
    <w:rsid w:val="00C167EA"/>
    <w:rsid w:val="00C167F1"/>
    <w:rsid w:val="00C16848"/>
    <w:rsid w:val="00C16D92"/>
    <w:rsid w:val="00C17887"/>
    <w:rsid w:val="00C17E36"/>
    <w:rsid w:val="00C204A0"/>
    <w:rsid w:val="00C209A0"/>
    <w:rsid w:val="00C2284E"/>
    <w:rsid w:val="00C22AC2"/>
    <w:rsid w:val="00C2303C"/>
    <w:rsid w:val="00C23A0A"/>
    <w:rsid w:val="00C24638"/>
    <w:rsid w:val="00C26410"/>
    <w:rsid w:val="00C26525"/>
    <w:rsid w:val="00C2691A"/>
    <w:rsid w:val="00C26D90"/>
    <w:rsid w:val="00C2720B"/>
    <w:rsid w:val="00C27346"/>
    <w:rsid w:val="00C27602"/>
    <w:rsid w:val="00C27E59"/>
    <w:rsid w:val="00C30360"/>
    <w:rsid w:val="00C33DC0"/>
    <w:rsid w:val="00C33F2D"/>
    <w:rsid w:val="00C34628"/>
    <w:rsid w:val="00C352A9"/>
    <w:rsid w:val="00C402F3"/>
    <w:rsid w:val="00C4039E"/>
    <w:rsid w:val="00C4138C"/>
    <w:rsid w:val="00C415A8"/>
    <w:rsid w:val="00C4188D"/>
    <w:rsid w:val="00C42217"/>
    <w:rsid w:val="00C42660"/>
    <w:rsid w:val="00C42C11"/>
    <w:rsid w:val="00C432FB"/>
    <w:rsid w:val="00C43C09"/>
    <w:rsid w:val="00C444C6"/>
    <w:rsid w:val="00C44885"/>
    <w:rsid w:val="00C4666A"/>
    <w:rsid w:val="00C46780"/>
    <w:rsid w:val="00C46C88"/>
    <w:rsid w:val="00C47850"/>
    <w:rsid w:val="00C50096"/>
    <w:rsid w:val="00C507D4"/>
    <w:rsid w:val="00C50AD3"/>
    <w:rsid w:val="00C50F91"/>
    <w:rsid w:val="00C50FE6"/>
    <w:rsid w:val="00C516C4"/>
    <w:rsid w:val="00C517A7"/>
    <w:rsid w:val="00C518C6"/>
    <w:rsid w:val="00C52A27"/>
    <w:rsid w:val="00C53528"/>
    <w:rsid w:val="00C53B2A"/>
    <w:rsid w:val="00C5499B"/>
    <w:rsid w:val="00C54A10"/>
    <w:rsid w:val="00C552C6"/>
    <w:rsid w:val="00C553D2"/>
    <w:rsid w:val="00C55BA2"/>
    <w:rsid w:val="00C55BEC"/>
    <w:rsid w:val="00C55EF9"/>
    <w:rsid w:val="00C5795F"/>
    <w:rsid w:val="00C609F7"/>
    <w:rsid w:val="00C61426"/>
    <w:rsid w:val="00C61D0F"/>
    <w:rsid w:val="00C62AF5"/>
    <w:rsid w:val="00C646F8"/>
    <w:rsid w:val="00C6751B"/>
    <w:rsid w:val="00C7069E"/>
    <w:rsid w:val="00C70ABE"/>
    <w:rsid w:val="00C711E7"/>
    <w:rsid w:val="00C713EA"/>
    <w:rsid w:val="00C74D96"/>
    <w:rsid w:val="00C74F2F"/>
    <w:rsid w:val="00C761D5"/>
    <w:rsid w:val="00C764C6"/>
    <w:rsid w:val="00C7748C"/>
    <w:rsid w:val="00C80D5A"/>
    <w:rsid w:val="00C81854"/>
    <w:rsid w:val="00C81C27"/>
    <w:rsid w:val="00C83095"/>
    <w:rsid w:val="00C8376E"/>
    <w:rsid w:val="00C8397D"/>
    <w:rsid w:val="00C83CA7"/>
    <w:rsid w:val="00C84300"/>
    <w:rsid w:val="00C84545"/>
    <w:rsid w:val="00C853BF"/>
    <w:rsid w:val="00C8661A"/>
    <w:rsid w:val="00C86B7E"/>
    <w:rsid w:val="00C872B7"/>
    <w:rsid w:val="00C8751B"/>
    <w:rsid w:val="00C90536"/>
    <w:rsid w:val="00C90A0A"/>
    <w:rsid w:val="00C912C5"/>
    <w:rsid w:val="00C91510"/>
    <w:rsid w:val="00C91A6B"/>
    <w:rsid w:val="00C92C52"/>
    <w:rsid w:val="00C92FC2"/>
    <w:rsid w:val="00C93070"/>
    <w:rsid w:val="00C934CB"/>
    <w:rsid w:val="00C936A1"/>
    <w:rsid w:val="00C93FC8"/>
    <w:rsid w:val="00C952DA"/>
    <w:rsid w:val="00C953C6"/>
    <w:rsid w:val="00C95D16"/>
    <w:rsid w:val="00C96066"/>
    <w:rsid w:val="00C967E9"/>
    <w:rsid w:val="00C970BF"/>
    <w:rsid w:val="00C9796D"/>
    <w:rsid w:val="00C97B6F"/>
    <w:rsid w:val="00C97C7D"/>
    <w:rsid w:val="00C97DDD"/>
    <w:rsid w:val="00CA14EF"/>
    <w:rsid w:val="00CA2236"/>
    <w:rsid w:val="00CA22A3"/>
    <w:rsid w:val="00CA29C0"/>
    <w:rsid w:val="00CA30AF"/>
    <w:rsid w:val="00CA367E"/>
    <w:rsid w:val="00CA4288"/>
    <w:rsid w:val="00CA4AE1"/>
    <w:rsid w:val="00CA54EF"/>
    <w:rsid w:val="00CA5CFD"/>
    <w:rsid w:val="00CA64FF"/>
    <w:rsid w:val="00CA7CE7"/>
    <w:rsid w:val="00CB0DF8"/>
    <w:rsid w:val="00CB114E"/>
    <w:rsid w:val="00CB1BD1"/>
    <w:rsid w:val="00CB2DCF"/>
    <w:rsid w:val="00CB2FFA"/>
    <w:rsid w:val="00CB30C4"/>
    <w:rsid w:val="00CB316E"/>
    <w:rsid w:val="00CB3A3D"/>
    <w:rsid w:val="00CB47AF"/>
    <w:rsid w:val="00CB4D7B"/>
    <w:rsid w:val="00CB57CF"/>
    <w:rsid w:val="00CB6749"/>
    <w:rsid w:val="00CB6BEE"/>
    <w:rsid w:val="00CB7A74"/>
    <w:rsid w:val="00CB7C82"/>
    <w:rsid w:val="00CB7F72"/>
    <w:rsid w:val="00CC0309"/>
    <w:rsid w:val="00CC0316"/>
    <w:rsid w:val="00CC0DFE"/>
    <w:rsid w:val="00CC22DD"/>
    <w:rsid w:val="00CC4218"/>
    <w:rsid w:val="00CC42D5"/>
    <w:rsid w:val="00CC5B29"/>
    <w:rsid w:val="00CC6A42"/>
    <w:rsid w:val="00CC76CE"/>
    <w:rsid w:val="00CD1BD4"/>
    <w:rsid w:val="00CD223F"/>
    <w:rsid w:val="00CD2C25"/>
    <w:rsid w:val="00CD2DE5"/>
    <w:rsid w:val="00CD3514"/>
    <w:rsid w:val="00CD3894"/>
    <w:rsid w:val="00CD3A3D"/>
    <w:rsid w:val="00CD3CC2"/>
    <w:rsid w:val="00CD4580"/>
    <w:rsid w:val="00CD488F"/>
    <w:rsid w:val="00CD4EBA"/>
    <w:rsid w:val="00CD5ACE"/>
    <w:rsid w:val="00CD69A3"/>
    <w:rsid w:val="00CD6DD2"/>
    <w:rsid w:val="00CD72E6"/>
    <w:rsid w:val="00CD7D31"/>
    <w:rsid w:val="00CD7F6E"/>
    <w:rsid w:val="00CE05E8"/>
    <w:rsid w:val="00CE05FA"/>
    <w:rsid w:val="00CE1AB7"/>
    <w:rsid w:val="00CE20A7"/>
    <w:rsid w:val="00CE3731"/>
    <w:rsid w:val="00CE3E1D"/>
    <w:rsid w:val="00CE5460"/>
    <w:rsid w:val="00CE5AE4"/>
    <w:rsid w:val="00CE5BE1"/>
    <w:rsid w:val="00CE645F"/>
    <w:rsid w:val="00CE6513"/>
    <w:rsid w:val="00CE6AAB"/>
    <w:rsid w:val="00CE7C5D"/>
    <w:rsid w:val="00CF0455"/>
    <w:rsid w:val="00CF0647"/>
    <w:rsid w:val="00CF0910"/>
    <w:rsid w:val="00CF10FF"/>
    <w:rsid w:val="00CF15C2"/>
    <w:rsid w:val="00CF3CB2"/>
    <w:rsid w:val="00CF4403"/>
    <w:rsid w:val="00CF5315"/>
    <w:rsid w:val="00CF576B"/>
    <w:rsid w:val="00CF79C1"/>
    <w:rsid w:val="00CF7DB0"/>
    <w:rsid w:val="00D007BA"/>
    <w:rsid w:val="00D01B7B"/>
    <w:rsid w:val="00D023F6"/>
    <w:rsid w:val="00D031CC"/>
    <w:rsid w:val="00D03A63"/>
    <w:rsid w:val="00D03F6E"/>
    <w:rsid w:val="00D048E4"/>
    <w:rsid w:val="00D04A3E"/>
    <w:rsid w:val="00D04CE2"/>
    <w:rsid w:val="00D06661"/>
    <w:rsid w:val="00D06F53"/>
    <w:rsid w:val="00D073AB"/>
    <w:rsid w:val="00D07D3F"/>
    <w:rsid w:val="00D118AF"/>
    <w:rsid w:val="00D11BA9"/>
    <w:rsid w:val="00D120BF"/>
    <w:rsid w:val="00D12AB5"/>
    <w:rsid w:val="00D1380F"/>
    <w:rsid w:val="00D14895"/>
    <w:rsid w:val="00D14F44"/>
    <w:rsid w:val="00D15BC5"/>
    <w:rsid w:val="00D1654A"/>
    <w:rsid w:val="00D16F6F"/>
    <w:rsid w:val="00D17009"/>
    <w:rsid w:val="00D206EF"/>
    <w:rsid w:val="00D213A6"/>
    <w:rsid w:val="00D217B8"/>
    <w:rsid w:val="00D2437F"/>
    <w:rsid w:val="00D246C7"/>
    <w:rsid w:val="00D25096"/>
    <w:rsid w:val="00D254C2"/>
    <w:rsid w:val="00D268EF"/>
    <w:rsid w:val="00D26AD8"/>
    <w:rsid w:val="00D2740D"/>
    <w:rsid w:val="00D30554"/>
    <w:rsid w:val="00D3185F"/>
    <w:rsid w:val="00D31A33"/>
    <w:rsid w:val="00D3256C"/>
    <w:rsid w:val="00D332A9"/>
    <w:rsid w:val="00D33944"/>
    <w:rsid w:val="00D3489D"/>
    <w:rsid w:val="00D350DD"/>
    <w:rsid w:val="00D35C56"/>
    <w:rsid w:val="00D40248"/>
    <w:rsid w:val="00D40B92"/>
    <w:rsid w:val="00D411BF"/>
    <w:rsid w:val="00D41EC7"/>
    <w:rsid w:val="00D43A69"/>
    <w:rsid w:val="00D44840"/>
    <w:rsid w:val="00D45DBF"/>
    <w:rsid w:val="00D45FFC"/>
    <w:rsid w:val="00D46154"/>
    <w:rsid w:val="00D4679E"/>
    <w:rsid w:val="00D473FC"/>
    <w:rsid w:val="00D479E8"/>
    <w:rsid w:val="00D47E7C"/>
    <w:rsid w:val="00D508A6"/>
    <w:rsid w:val="00D51B89"/>
    <w:rsid w:val="00D51CA9"/>
    <w:rsid w:val="00D53CAE"/>
    <w:rsid w:val="00D540C6"/>
    <w:rsid w:val="00D54668"/>
    <w:rsid w:val="00D5496E"/>
    <w:rsid w:val="00D5592D"/>
    <w:rsid w:val="00D55DA0"/>
    <w:rsid w:val="00D55EA7"/>
    <w:rsid w:val="00D5622C"/>
    <w:rsid w:val="00D5682C"/>
    <w:rsid w:val="00D56A14"/>
    <w:rsid w:val="00D610BB"/>
    <w:rsid w:val="00D61501"/>
    <w:rsid w:val="00D620DC"/>
    <w:rsid w:val="00D62784"/>
    <w:rsid w:val="00D62852"/>
    <w:rsid w:val="00D62DB4"/>
    <w:rsid w:val="00D63121"/>
    <w:rsid w:val="00D63E2E"/>
    <w:rsid w:val="00D64993"/>
    <w:rsid w:val="00D65F99"/>
    <w:rsid w:val="00D66929"/>
    <w:rsid w:val="00D7005D"/>
    <w:rsid w:val="00D71260"/>
    <w:rsid w:val="00D7126F"/>
    <w:rsid w:val="00D734B6"/>
    <w:rsid w:val="00D753E8"/>
    <w:rsid w:val="00D753F6"/>
    <w:rsid w:val="00D764C2"/>
    <w:rsid w:val="00D76913"/>
    <w:rsid w:val="00D77615"/>
    <w:rsid w:val="00D80344"/>
    <w:rsid w:val="00D80963"/>
    <w:rsid w:val="00D80C34"/>
    <w:rsid w:val="00D815F9"/>
    <w:rsid w:val="00D819A5"/>
    <w:rsid w:val="00D8216E"/>
    <w:rsid w:val="00D823C9"/>
    <w:rsid w:val="00D824D6"/>
    <w:rsid w:val="00D836B9"/>
    <w:rsid w:val="00D83E5E"/>
    <w:rsid w:val="00D845B1"/>
    <w:rsid w:val="00D84AE0"/>
    <w:rsid w:val="00D84C7D"/>
    <w:rsid w:val="00D84E19"/>
    <w:rsid w:val="00D8528C"/>
    <w:rsid w:val="00D860D9"/>
    <w:rsid w:val="00D8646C"/>
    <w:rsid w:val="00D87468"/>
    <w:rsid w:val="00D8793C"/>
    <w:rsid w:val="00D87BD4"/>
    <w:rsid w:val="00D87F0A"/>
    <w:rsid w:val="00D901F9"/>
    <w:rsid w:val="00D90881"/>
    <w:rsid w:val="00D90DEF"/>
    <w:rsid w:val="00D91465"/>
    <w:rsid w:val="00D934CD"/>
    <w:rsid w:val="00D940B7"/>
    <w:rsid w:val="00D94215"/>
    <w:rsid w:val="00D94764"/>
    <w:rsid w:val="00D94AA0"/>
    <w:rsid w:val="00D956EB"/>
    <w:rsid w:val="00D95938"/>
    <w:rsid w:val="00D96531"/>
    <w:rsid w:val="00DA1846"/>
    <w:rsid w:val="00DA22D8"/>
    <w:rsid w:val="00DA273C"/>
    <w:rsid w:val="00DA3CBB"/>
    <w:rsid w:val="00DA3CEB"/>
    <w:rsid w:val="00DA6247"/>
    <w:rsid w:val="00DA6C28"/>
    <w:rsid w:val="00DA6C89"/>
    <w:rsid w:val="00DA75F4"/>
    <w:rsid w:val="00DA78C6"/>
    <w:rsid w:val="00DA7B63"/>
    <w:rsid w:val="00DB088F"/>
    <w:rsid w:val="00DB17B5"/>
    <w:rsid w:val="00DB189E"/>
    <w:rsid w:val="00DB21D2"/>
    <w:rsid w:val="00DB2E85"/>
    <w:rsid w:val="00DB2F7A"/>
    <w:rsid w:val="00DB4329"/>
    <w:rsid w:val="00DB498E"/>
    <w:rsid w:val="00DB4E79"/>
    <w:rsid w:val="00DB638B"/>
    <w:rsid w:val="00DB6F88"/>
    <w:rsid w:val="00DB75F4"/>
    <w:rsid w:val="00DB78E4"/>
    <w:rsid w:val="00DB7BA0"/>
    <w:rsid w:val="00DC04A6"/>
    <w:rsid w:val="00DC0E71"/>
    <w:rsid w:val="00DC0F90"/>
    <w:rsid w:val="00DC1069"/>
    <w:rsid w:val="00DC200B"/>
    <w:rsid w:val="00DC2D97"/>
    <w:rsid w:val="00DC2F67"/>
    <w:rsid w:val="00DC34DE"/>
    <w:rsid w:val="00DC395B"/>
    <w:rsid w:val="00DC3BB0"/>
    <w:rsid w:val="00DC3CC8"/>
    <w:rsid w:val="00DC4085"/>
    <w:rsid w:val="00DC4485"/>
    <w:rsid w:val="00DC4FCC"/>
    <w:rsid w:val="00DC5DAF"/>
    <w:rsid w:val="00DD0CE8"/>
    <w:rsid w:val="00DD1E9F"/>
    <w:rsid w:val="00DD2188"/>
    <w:rsid w:val="00DD2599"/>
    <w:rsid w:val="00DD27A2"/>
    <w:rsid w:val="00DD2F8D"/>
    <w:rsid w:val="00DD32D4"/>
    <w:rsid w:val="00DD38B2"/>
    <w:rsid w:val="00DD38D2"/>
    <w:rsid w:val="00DD40B7"/>
    <w:rsid w:val="00DD45D8"/>
    <w:rsid w:val="00DD51FE"/>
    <w:rsid w:val="00DD56F9"/>
    <w:rsid w:val="00DD6BCD"/>
    <w:rsid w:val="00DD731C"/>
    <w:rsid w:val="00DD76AE"/>
    <w:rsid w:val="00DD7985"/>
    <w:rsid w:val="00DE12B7"/>
    <w:rsid w:val="00DE12DF"/>
    <w:rsid w:val="00DE2094"/>
    <w:rsid w:val="00DE2376"/>
    <w:rsid w:val="00DE393D"/>
    <w:rsid w:val="00DE4DDE"/>
    <w:rsid w:val="00DE50C3"/>
    <w:rsid w:val="00DE530B"/>
    <w:rsid w:val="00DE53C8"/>
    <w:rsid w:val="00DE56A0"/>
    <w:rsid w:val="00DE58DD"/>
    <w:rsid w:val="00DE5C17"/>
    <w:rsid w:val="00DE6A23"/>
    <w:rsid w:val="00DE6EB4"/>
    <w:rsid w:val="00DE76FB"/>
    <w:rsid w:val="00DF0742"/>
    <w:rsid w:val="00DF0C7C"/>
    <w:rsid w:val="00DF10E5"/>
    <w:rsid w:val="00DF265A"/>
    <w:rsid w:val="00DF2CF3"/>
    <w:rsid w:val="00DF358F"/>
    <w:rsid w:val="00DF3EBA"/>
    <w:rsid w:val="00DF4356"/>
    <w:rsid w:val="00DF436E"/>
    <w:rsid w:val="00DF526A"/>
    <w:rsid w:val="00DF68E7"/>
    <w:rsid w:val="00DF6D20"/>
    <w:rsid w:val="00DF6DF3"/>
    <w:rsid w:val="00DF7D3F"/>
    <w:rsid w:val="00E00700"/>
    <w:rsid w:val="00E008E5"/>
    <w:rsid w:val="00E020A4"/>
    <w:rsid w:val="00E02FA1"/>
    <w:rsid w:val="00E03232"/>
    <w:rsid w:val="00E0323D"/>
    <w:rsid w:val="00E045AE"/>
    <w:rsid w:val="00E058D8"/>
    <w:rsid w:val="00E06F28"/>
    <w:rsid w:val="00E10905"/>
    <w:rsid w:val="00E12BCC"/>
    <w:rsid w:val="00E132EF"/>
    <w:rsid w:val="00E1330A"/>
    <w:rsid w:val="00E13BD8"/>
    <w:rsid w:val="00E140E6"/>
    <w:rsid w:val="00E14260"/>
    <w:rsid w:val="00E147DD"/>
    <w:rsid w:val="00E1493B"/>
    <w:rsid w:val="00E14986"/>
    <w:rsid w:val="00E15248"/>
    <w:rsid w:val="00E15BFA"/>
    <w:rsid w:val="00E15D08"/>
    <w:rsid w:val="00E15FBD"/>
    <w:rsid w:val="00E1608D"/>
    <w:rsid w:val="00E16C6A"/>
    <w:rsid w:val="00E20426"/>
    <w:rsid w:val="00E21D19"/>
    <w:rsid w:val="00E21F37"/>
    <w:rsid w:val="00E23025"/>
    <w:rsid w:val="00E24608"/>
    <w:rsid w:val="00E24737"/>
    <w:rsid w:val="00E24B97"/>
    <w:rsid w:val="00E24CE4"/>
    <w:rsid w:val="00E24F39"/>
    <w:rsid w:val="00E2603E"/>
    <w:rsid w:val="00E26079"/>
    <w:rsid w:val="00E269BA"/>
    <w:rsid w:val="00E305A6"/>
    <w:rsid w:val="00E30892"/>
    <w:rsid w:val="00E30A8A"/>
    <w:rsid w:val="00E3130D"/>
    <w:rsid w:val="00E31E0B"/>
    <w:rsid w:val="00E338FB"/>
    <w:rsid w:val="00E35AF0"/>
    <w:rsid w:val="00E35F34"/>
    <w:rsid w:val="00E363AD"/>
    <w:rsid w:val="00E401C9"/>
    <w:rsid w:val="00E41002"/>
    <w:rsid w:val="00E42771"/>
    <w:rsid w:val="00E42D45"/>
    <w:rsid w:val="00E4347B"/>
    <w:rsid w:val="00E44FBF"/>
    <w:rsid w:val="00E45755"/>
    <w:rsid w:val="00E46BB2"/>
    <w:rsid w:val="00E47273"/>
    <w:rsid w:val="00E473A3"/>
    <w:rsid w:val="00E50103"/>
    <w:rsid w:val="00E511E6"/>
    <w:rsid w:val="00E51737"/>
    <w:rsid w:val="00E51B6B"/>
    <w:rsid w:val="00E5283D"/>
    <w:rsid w:val="00E52CDE"/>
    <w:rsid w:val="00E5341E"/>
    <w:rsid w:val="00E5381C"/>
    <w:rsid w:val="00E53905"/>
    <w:rsid w:val="00E53A02"/>
    <w:rsid w:val="00E53B1A"/>
    <w:rsid w:val="00E53EF4"/>
    <w:rsid w:val="00E54D6F"/>
    <w:rsid w:val="00E54EA1"/>
    <w:rsid w:val="00E57067"/>
    <w:rsid w:val="00E57D33"/>
    <w:rsid w:val="00E60477"/>
    <w:rsid w:val="00E62153"/>
    <w:rsid w:val="00E6464C"/>
    <w:rsid w:val="00E64706"/>
    <w:rsid w:val="00E65520"/>
    <w:rsid w:val="00E659C9"/>
    <w:rsid w:val="00E675E7"/>
    <w:rsid w:val="00E703D6"/>
    <w:rsid w:val="00E70510"/>
    <w:rsid w:val="00E726F9"/>
    <w:rsid w:val="00E72737"/>
    <w:rsid w:val="00E73785"/>
    <w:rsid w:val="00E7558B"/>
    <w:rsid w:val="00E75BED"/>
    <w:rsid w:val="00E75E7B"/>
    <w:rsid w:val="00E77A5C"/>
    <w:rsid w:val="00E805AB"/>
    <w:rsid w:val="00E811DD"/>
    <w:rsid w:val="00E814F0"/>
    <w:rsid w:val="00E82094"/>
    <w:rsid w:val="00E822D7"/>
    <w:rsid w:val="00E823B0"/>
    <w:rsid w:val="00E82F98"/>
    <w:rsid w:val="00E832E6"/>
    <w:rsid w:val="00E84666"/>
    <w:rsid w:val="00E859E7"/>
    <w:rsid w:val="00E86039"/>
    <w:rsid w:val="00E87C7E"/>
    <w:rsid w:val="00E9178A"/>
    <w:rsid w:val="00E921C0"/>
    <w:rsid w:val="00E922CF"/>
    <w:rsid w:val="00E930AB"/>
    <w:rsid w:val="00E938F2"/>
    <w:rsid w:val="00E93954"/>
    <w:rsid w:val="00E93F62"/>
    <w:rsid w:val="00E944A9"/>
    <w:rsid w:val="00E95442"/>
    <w:rsid w:val="00E9555C"/>
    <w:rsid w:val="00E96564"/>
    <w:rsid w:val="00E96B32"/>
    <w:rsid w:val="00E96F13"/>
    <w:rsid w:val="00E97380"/>
    <w:rsid w:val="00E97D50"/>
    <w:rsid w:val="00EA0BF0"/>
    <w:rsid w:val="00EA1541"/>
    <w:rsid w:val="00EA177B"/>
    <w:rsid w:val="00EA191F"/>
    <w:rsid w:val="00EA3281"/>
    <w:rsid w:val="00EA3C78"/>
    <w:rsid w:val="00EA48F4"/>
    <w:rsid w:val="00EA495C"/>
    <w:rsid w:val="00EA5852"/>
    <w:rsid w:val="00EA5875"/>
    <w:rsid w:val="00EA5A8B"/>
    <w:rsid w:val="00EA6DE0"/>
    <w:rsid w:val="00EA71B2"/>
    <w:rsid w:val="00EA7879"/>
    <w:rsid w:val="00EB132C"/>
    <w:rsid w:val="00EB38B0"/>
    <w:rsid w:val="00EB5399"/>
    <w:rsid w:val="00EB58FE"/>
    <w:rsid w:val="00EB60E1"/>
    <w:rsid w:val="00EB64E5"/>
    <w:rsid w:val="00EB6C1D"/>
    <w:rsid w:val="00EB6E83"/>
    <w:rsid w:val="00EB7179"/>
    <w:rsid w:val="00EB74AA"/>
    <w:rsid w:val="00EB7F99"/>
    <w:rsid w:val="00EC0C14"/>
    <w:rsid w:val="00EC0F8E"/>
    <w:rsid w:val="00EC12BE"/>
    <w:rsid w:val="00EC1FE7"/>
    <w:rsid w:val="00EC2B22"/>
    <w:rsid w:val="00EC3699"/>
    <w:rsid w:val="00EC3905"/>
    <w:rsid w:val="00EC3908"/>
    <w:rsid w:val="00EC393A"/>
    <w:rsid w:val="00EC4CCC"/>
    <w:rsid w:val="00EC55A4"/>
    <w:rsid w:val="00EC55BD"/>
    <w:rsid w:val="00EC5F15"/>
    <w:rsid w:val="00EC6425"/>
    <w:rsid w:val="00EC6558"/>
    <w:rsid w:val="00EC675D"/>
    <w:rsid w:val="00EC7242"/>
    <w:rsid w:val="00ED002E"/>
    <w:rsid w:val="00ED0108"/>
    <w:rsid w:val="00ED09E4"/>
    <w:rsid w:val="00ED0BBB"/>
    <w:rsid w:val="00ED0E72"/>
    <w:rsid w:val="00ED1063"/>
    <w:rsid w:val="00ED2A58"/>
    <w:rsid w:val="00ED2B43"/>
    <w:rsid w:val="00ED38EE"/>
    <w:rsid w:val="00ED3D15"/>
    <w:rsid w:val="00ED5078"/>
    <w:rsid w:val="00ED5A58"/>
    <w:rsid w:val="00ED6E58"/>
    <w:rsid w:val="00EE0A2E"/>
    <w:rsid w:val="00EE0BA5"/>
    <w:rsid w:val="00EE1A1A"/>
    <w:rsid w:val="00EE2404"/>
    <w:rsid w:val="00EE2F1D"/>
    <w:rsid w:val="00EE31B1"/>
    <w:rsid w:val="00EE39D5"/>
    <w:rsid w:val="00EE3D8B"/>
    <w:rsid w:val="00EE40A5"/>
    <w:rsid w:val="00EE437C"/>
    <w:rsid w:val="00EE4395"/>
    <w:rsid w:val="00EE4455"/>
    <w:rsid w:val="00EE4AE1"/>
    <w:rsid w:val="00EE4D85"/>
    <w:rsid w:val="00EE5405"/>
    <w:rsid w:val="00EE6012"/>
    <w:rsid w:val="00EE672E"/>
    <w:rsid w:val="00EE675C"/>
    <w:rsid w:val="00EE6A2B"/>
    <w:rsid w:val="00EE74F3"/>
    <w:rsid w:val="00EE766C"/>
    <w:rsid w:val="00EF093E"/>
    <w:rsid w:val="00EF187B"/>
    <w:rsid w:val="00EF2096"/>
    <w:rsid w:val="00EF25C0"/>
    <w:rsid w:val="00EF2D5D"/>
    <w:rsid w:val="00EF2EC4"/>
    <w:rsid w:val="00EF3024"/>
    <w:rsid w:val="00EF526E"/>
    <w:rsid w:val="00EF550F"/>
    <w:rsid w:val="00EF5F31"/>
    <w:rsid w:val="00EF635B"/>
    <w:rsid w:val="00EF6826"/>
    <w:rsid w:val="00F01741"/>
    <w:rsid w:val="00F01B2D"/>
    <w:rsid w:val="00F01FA2"/>
    <w:rsid w:val="00F02347"/>
    <w:rsid w:val="00F02A65"/>
    <w:rsid w:val="00F02B04"/>
    <w:rsid w:val="00F02D25"/>
    <w:rsid w:val="00F03089"/>
    <w:rsid w:val="00F03645"/>
    <w:rsid w:val="00F03C4A"/>
    <w:rsid w:val="00F045BB"/>
    <w:rsid w:val="00F0493E"/>
    <w:rsid w:val="00F05511"/>
    <w:rsid w:val="00F05A6A"/>
    <w:rsid w:val="00F05AFB"/>
    <w:rsid w:val="00F05C82"/>
    <w:rsid w:val="00F063D6"/>
    <w:rsid w:val="00F06814"/>
    <w:rsid w:val="00F06C8D"/>
    <w:rsid w:val="00F07417"/>
    <w:rsid w:val="00F07DA7"/>
    <w:rsid w:val="00F109BA"/>
    <w:rsid w:val="00F113F9"/>
    <w:rsid w:val="00F12701"/>
    <w:rsid w:val="00F12C27"/>
    <w:rsid w:val="00F130A4"/>
    <w:rsid w:val="00F13284"/>
    <w:rsid w:val="00F13D65"/>
    <w:rsid w:val="00F1436F"/>
    <w:rsid w:val="00F147E9"/>
    <w:rsid w:val="00F14BF9"/>
    <w:rsid w:val="00F1642B"/>
    <w:rsid w:val="00F16A60"/>
    <w:rsid w:val="00F1718D"/>
    <w:rsid w:val="00F17747"/>
    <w:rsid w:val="00F21F5E"/>
    <w:rsid w:val="00F22936"/>
    <w:rsid w:val="00F22D3C"/>
    <w:rsid w:val="00F235BA"/>
    <w:rsid w:val="00F249F2"/>
    <w:rsid w:val="00F24DA2"/>
    <w:rsid w:val="00F24F39"/>
    <w:rsid w:val="00F25711"/>
    <w:rsid w:val="00F2590E"/>
    <w:rsid w:val="00F26BA1"/>
    <w:rsid w:val="00F2724E"/>
    <w:rsid w:val="00F311A7"/>
    <w:rsid w:val="00F315D1"/>
    <w:rsid w:val="00F3178C"/>
    <w:rsid w:val="00F31CD6"/>
    <w:rsid w:val="00F32019"/>
    <w:rsid w:val="00F321EE"/>
    <w:rsid w:val="00F322BE"/>
    <w:rsid w:val="00F33A0B"/>
    <w:rsid w:val="00F349BD"/>
    <w:rsid w:val="00F34D92"/>
    <w:rsid w:val="00F35EE0"/>
    <w:rsid w:val="00F405FA"/>
    <w:rsid w:val="00F41A3D"/>
    <w:rsid w:val="00F41F31"/>
    <w:rsid w:val="00F42B29"/>
    <w:rsid w:val="00F43588"/>
    <w:rsid w:val="00F44D6C"/>
    <w:rsid w:val="00F451A7"/>
    <w:rsid w:val="00F455D3"/>
    <w:rsid w:val="00F45DA3"/>
    <w:rsid w:val="00F46798"/>
    <w:rsid w:val="00F46BB3"/>
    <w:rsid w:val="00F47B92"/>
    <w:rsid w:val="00F50D35"/>
    <w:rsid w:val="00F50DCD"/>
    <w:rsid w:val="00F51151"/>
    <w:rsid w:val="00F51A96"/>
    <w:rsid w:val="00F51B41"/>
    <w:rsid w:val="00F51D72"/>
    <w:rsid w:val="00F51E0C"/>
    <w:rsid w:val="00F52470"/>
    <w:rsid w:val="00F534B2"/>
    <w:rsid w:val="00F54662"/>
    <w:rsid w:val="00F55302"/>
    <w:rsid w:val="00F560B3"/>
    <w:rsid w:val="00F6062E"/>
    <w:rsid w:val="00F61273"/>
    <w:rsid w:val="00F61B78"/>
    <w:rsid w:val="00F61D33"/>
    <w:rsid w:val="00F6237B"/>
    <w:rsid w:val="00F65951"/>
    <w:rsid w:val="00F67011"/>
    <w:rsid w:val="00F677A4"/>
    <w:rsid w:val="00F71035"/>
    <w:rsid w:val="00F72631"/>
    <w:rsid w:val="00F72A2D"/>
    <w:rsid w:val="00F74312"/>
    <w:rsid w:val="00F75383"/>
    <w:rsid w:val="00F75EB1"/>
    <w:rsid w:val="00F762EC"/>
    <w:rsid w:val="00F77E34"/>
    <w:rsid w:val="00F80CD0"/>
    <w:rsid w:val="00F81252"/>
    <w:rsid w:val="00F81693"/>
    <w:rsid w:val="00F824F9"/>
    <w:rsid w:val="00F82A21"/>
    <w:rsid w:val="00F87342"/>
    <w:rsid w:val="00F90C47"/>
    <w:rsid w:val="00F913DA"/>
    <w:rsid w:val="00F914E7"/>
    <w:rsid w:val="00F93209"/>
    <w:rsid w:val="00F93DF8"/>
    <w:rsid w:val="00F93EFE"/>
    <w:rsid w:val="00F93FE6"/>
    <w:rsid w:val="00F942CF"/>
    <w:rsid w:val="00F949A2"/>
    <w:rsid w:val="00F968E1"/>
    <w:rsid w:val="00F96B78"/>
    <w:rsid w:val="00F974EC"/>
    <w:rsid w:val="00FA151B"/>
    <w:rsid w:val="00FA1C3E"/>
    <w:rsid w:val="00FA1F25"/>
    <w:rsid w:val="00FA2310"/>
    <w:rsid w:val="00FA2670"/>
    <w:rsid w:val="00FA3FEC"/>
    <w:rsid w:val="00FA45BF"/>
    <w:rsid w:val="00FA58BA"/>
    <w:rsid w:val="00FA58BC"/>
    <w:rsid w:val="00FA624B"/>
    <w:rsid w:val="00FA6342"/>
    <w:rsid w:val="00FA6F92"/>
    <w:rsid w:val="00FA775F"/>
    <w:rsid w:val="00FA7762"/>
    <w:rsid w:val="00FA79A1"/>
    <w:rsid w:val="00FB06D0"/>
    <w:rsid w:val="00FB075F"/>
    <w:rsid w:val="00FB0E05"/>
    <w:rsid w:val="00FB1C22"/>
    <w:rsid w:val="00FB22B5"/>
    <w:rsid w:val="00FB2C52"/>
    <w:rsid w:val="00FB2F78"/>
    <w:rsid w:val="00FB3515"/>
    <w:rsid w:val="00FB3B8C"/>
    <w:rsid w:val="00FB3C08"/>
    <w:rsid w:val="00FB4460"/>
    <w:rsid w:val="00FB5EAA"/>
    <w:rsid w:val="00FB6DFD"/>
    <w:rsid w:val="00FB75C1"/>
    <w:rsid w:val="00FB7D89"/>
    <w:rsid w:val="00FC00B5"/>
    <w:rsid w:val="00FC0105"/>
    <w:rsid w:val="00FC040C"/>
    <w:rsid w:val="00FC091C"/>
    <w:rsid w:val="00FC1764"/>
    <w:rsid w:val="00FC1C78"/>
    <w:rsid w:val="00FC20E2"/>
    <w:rsid w:val="00FC2191"/>
    <w:rsid w:val="00FC2703"/>
    <w:rsid w:val="00FC2BE4"/>
    <w:rsid w:val="00FC2DD7"/>
    <w:rsid w:val="00FC3D3F"/>
    <w:rsid w:val="00FC3F6C"/>
    <w:rsid w:val="00FC459F"/>
    <w:rsid w:val="00FC5160"/>
    <w:rsid w:val="00FC5EF5"/>
    <w:rsid w:val="00FC6A62"/>
    <w:rsid w:val="00FC7FE6"/>
    <w:rsid w:val="00FD02C9"/>
    <w:rsid w:val="00FD0AB3"/>
    <w:rsid w:val="00FD0C36"/>
    <w:rsid w:val="00FD0D9D"/>
    <w:rsid w:val="00FD0E75"/>
    <w:rsid w:val="00FD1981"/>
    <w:rsid w:val="00FD1C67"/>
    <w:rsid w:val="00FD38EB"/>
    <w:rsid w:val="00FD3B20"/>
    <w:rsid w:val="00FD4289"/>
    <w:rsid w:val="00FD4583"/>
    <w:rsid w:val="00FD5D52"/>
    <w:rsid w:val="00FD5F81"/>
    <w:rsid w:val="00FD712B"/>
    <w:rsid w:val="00FD79BC"/>
    <w:rsid w:val="00FE161C"/>
    <w:rsid w:val="00FE177D"/>
    <w:rsid w:val="00FE3662"/>
    <w:rsid w:val="00FE3EA6"/>
    <w:rsid w:val="00FE5265"/>
    <w:rsid w:val="00FE5389"/>
    <w:rsid w:val="00FE6B72"/>
    <w:rsid w:val="00FE7509"/>
    <w:rsid w:val="00FE77C8"/>
    <w:rsid w:val="00FF0084"/>
    <w:rsid w:val="00FF2117"/>
    <w:rsid w:val="00FF2933"/>
    <w:rsid w:val="00FF3D16"/>
    <w:rsid w:val="00FF4EEF"/>
    <w:rsid w:val="00FF523C"/>
    <w:rsid w:val="00FF692E"/>
    <w:rsid w:val="00FF6A71"/>
    <w:rsid w:val="00FF701E"/>
    <w:rsid w:val="00FF7458"/>
    <w:rsid w:val="00FF7E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BBB30A"/>
  <w14:defaultImageDpi w14:val="96"/>
  <w15:docId w15:val="{383A5C3A-0ADB-4A21-B140-B770B55E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sz w:val="19"/>
        <w:szCs w:val="19"/>
        <w:lang w:val="en-GB" w:eastAsia="en-GB" w:bidi="ar-SA"/>
      </w:rPr>
    </w:rPrDefault>
    <w:pPrDefault>
      <w:pPr>
        <w:spacing w:before="200" w:after="200" w:line="280" w:lineRule="atLeast"/>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lsdException w:name="toc 8" w:semiHidden="1" w:uiPriority="39"/>
    <w:lsdException w:name="toc 9" w:semiHidden="1" w:uiPriority="39"/>
    <w:lsdException w:name="Normal Indent" w:semiHidden="1"/>
    <w:lsdException w:name="footnote text" w:semiHidden="1" w:unhideWhenUsed="1" w:qFormat="1"/>
    <w:lsdException w:name="annotation text" w:semiHidden="1" w:uiPriority="0" w:unhideWhenUsed="1"/>
    <w:lsdException w:name="header" w:semiHidden="1" w:uiPriority="3" w:unhideWhenUsed="1" w:qFormat="1"/>
    <w:lsdException w:name="footer" w:semiHidden="1" w:uiPriority="5" w:unhideWhenUsed="1"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qFormat="1"/>
    <w:lsdException w:name="annotation reference" w:semiHidden="1" w:unhideWhenUsed="1"/>
    <w:lsdException w:name="line number" w:semiHidden="1"/>
    <w:lsdException w:name="page number" w:semiHidden="1"/>
    <w:lsdException w:name="endnote reference" w:semiHidden="1" w:unhideWhenUsed="1"/>
    <w:lsdException w:name="endnote text" w:semiHidden="1"/>
    <w:lsdException w:name="table of authorities" w:semiHidden="1"/>
    <w:lsdException w:name="macro" w:semiHidden="1"/>
    <w:lsdException w:name="toa heading" w:semiHidden="1"/>
    <w:lsdException w:name="List" w:semiHidden="1"/>
    <w:lsdException w:name="List Bullet" w:semiHidden="1" w:uiPriority="2" w:unhideWhenUsed="1" w:qFormat="1"/>
    <w:lsdException w:name="List Number" w:semiHidden="1" w:uiPriority="2" w:unhideWhenUsed="1" w:qFormat="1"/>
    <w:lsdException w:name="List 2" w:semiHidden="1"/>
    <w:lsdException w:name="List 3" w:semiHidden="1"/>
    <w:lsdException w:name="List 4" w:semiHidden="1"/>
    <w:lsdException w:name="List 5" w:semiHidden="1"/>
    <w:lsdException w:name="List Bullet 2" w:semiHidden="1" w:uiPriority="2" w:unhideWhenUsed="1" w:qFormat="1"/>
    <w:lsdException w:name="List Bullet 3" w:semiHidden="1" w:uiPriority="2" w:unhideWhenUsed="1" w:qFormat="1"/>
    <w:lsdException w:name="List Bullet 4" w:semiHidden="1"/>
    <w:lsdException w:name="List Bullet 5" w:semiHidden="1"/>
    <w:lsdException w:name="List Number 2" w:semiHidden="1" w:uiPriority="2" w:unhideWhenUsed="1" w:qFormat="1"/>
    <w:lsdException w:name="List Number 3" w:semiHidden="1" w:uiPriority="2" w:unhideWhenUsed="1" w:qFormat="1"/>
    <w:lsdException w:name="List Number 4" w:semiHidden="1"/>
    <w:lsdException w:name="List Number 5" w:semiHidden="1"/>
    <w:lsdException w:name="Title" w:uiPriority="5"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5"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uiPriority="2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1"/>
    <w:qFormat/>
    <w:rsid w:val="00EC3905"/>
  </w:style>
  <w:style w:type="paragraph" w:styleId="Heading1">
    <w:name w:val="heading 1"/>
    <w:next w:val="Normal"/>
    <w:link w:val="Heading1Char"/>
    <w:uiPriority w:val="1"/>
    <w:qFormat/>
    <w:rsid w:val="001F6B5C"/>
    <w:pPr>
      <w:keepNext/>
      <w:keepLines/>
      <w:pageBreakBefore/>
      <w:numPr>
        <w:numId w:val="5"/>
      </w:numPr>
      <w:suppressAutoHyphens/>
      <w:spacing w:before="0" w:after="600" w:line="520" w:lineRule="atLeast"/>
      <w:contextualSpacing/>
      <w:outlineLvl w:val="0"/>
    </w:pPr>
    <w:rPr>
      <w:rFonts w:eastAsia="Times New Roman" w:cs="Sendnya"/>
      <w:bCs/>
      <w:color w:val="003299"/>
      <w:kern w:val="40"/>
      <w:sz w:val="40"/>
      <w:szCs w:val="28"/>
    </w:rPr>
  </w:style>
  <w:style w:type="paragraph" w:styleId="Heading2">
    <w:name w:val="heading 2"/>
    <w:next w:val="Normal"/>
    <w:link w:val="Heading2Char"/>
    <w:uiPriority w:val="1"/>
    <w:qFormat/>
    <w:rsid w:val="001F6B5C"/>
    <w:pPr>
      <w:keepNext/>
      <w:numPr>
        <w:ilvl w:val="1"/>
        <w:numId w:val="5"/>
      </w:numPr>
      <w:suppressAutoHyphens/>
      <w:spacing w:before="600" w:line="360" w:lineRule="atLeast"/>
      <w:outlineLvl w:val="1"/>
    </w:pPr>
    <w:rPr>
      <w:rFonts w:eastAsia="Times New Roman" w:cs="Sendnya"/>
      <w:bCs/>
      <w:color w:val="003299"/>
      <w:kern w:val="28"/>
      <w:sz w:val="28"/>
      <w:szCs w:val="28"/>
    </w:rPr>
  </w:style>
  <w:style w:type="paragraph" w:styleId="Heading3">
    <w:name w:val="heading 3"/>
    <w:next w:val="Normal"/>
    <w:link w:val="Heading3Char"/>
    <w:uiPriority w:val="1"/>
    <w:qFormat/>
    <w:rsid w:val="001F6B5C"/>
    <w:pPr>
      <w:keepNext/>
      <w:numPr>
        <w:ilvl w:val="2"/>
        <w:numId w:val="5"/>
      </w:numPr>
      <w:suppressAutoHyphens/>
      <w:spacing w:before="600" w:line="320" w:lineRule="atLeast"/>
      <w:outlineLvl w:val="2"/>
    </w:pPr>
    <w:rPr>
      <w:rFonts w:eastAsia="Times New Roman" w:cs="Sendnya"/>
      <w:bCs/>
      <w:color w:val="003299"/>
      <w:kern w:val="24"/>
      <w:sz w:val="24"/>
      <w:szCs w:val="24"/>
    </w:rPr>
  </w:style>
  <w:style w:type="paragraph" w:styleId="Heading4">
    <w:name w:val="heading 4"/>
    <w:next w:val="Normal"/>
    <w:link w:val="Heading4Char"/>
    <w:uiPriority w:val="1"/>
    <w:qFormat/>
    <w:rsid w:val="001F6B5C"/>
    <w:pPr>
      <w:keepNext/>
      <w:keepLines/>
      <w:numPr>
        <w:ilvl w:val="3"/>
        <w:numId w:val="5"/>
      </w:numPr>
      <w:suppressAutoHyphens/>
      <w:spacing w:before="600" w:line="320" w:lineRule="atLeast"/>
      <w:outlineLvl w:val="3"/>
    </w:pPr>
    <w:rPr>
      <w:rFonts w:eastAsia="Times New Roman" w:cs="Sendnya"/>
      <w:bCs/>
      <w:iCs/>
      <w:color w:val="003299"/>
      <w:kern w:val="24"/>
      <w:sz w:val="24"/>
      <w:szCs w:val="22"/>
    </w:rPr>
  </w:style>
  <w:style w:type="paragraph" w:styleId="Heading5">
    <w:name w:val="heading 5"/>
    <w:next w:val="Normal"/>
    <w:link w:val="Heading5Char"/>
    <w:uiPriority w:val="1"/>
    <w:qFormat/>
    <w:rsid w:val="001F6B5C"/>
    <w:pPr>
      <w:keepNext/>
      <w:keepLines/>
      <w:numPr>
        <w:ilvl w:val="4"/>
        <w:numId w:val="5"/>
      </w:numPr>
      <w:suppressAutoHyphens/>
      <w:spacing w:before="600" w:line="320" w:lineRule="atLeast"/>
      <w:outlineLvl w:val="4"/>
    </w:pPr>
    <w:rPr>
      <w:rFonts w:eastAsia="Times New Roman" w:cs="Sendnya"/>
      <w:color w:val="003299"/>
      <w:kern w:val="24"/>
      <w:sz w:val="24"/>
      <w:szCs w:val="22"/>
    </w:rPr>
  </w:style>
  <w:style w:type="paragraph" w:styleId="Heading6">
    <w:name w:val="heading 6"/>
    <w:next w:val="Normal"/>
    <w:link w:val="Heading6Char"/>
    <w:uiPriority w:val="1"/>
    <w:qFormat/>
    <w:rsid w:val="001F6B5C"/>
    <w:pPr>
      <w:keepNext/>
      <w:keepLines/>
      <w:numPr>
        <w:ilvl w:val="5"/>
        <w:numId w:val="5"/>
      </w:numPr>
      <w:spacing w:before="600"/>
      <w:outlineLvl w:val="5"/>
    </w:pPr>
    <w:rPr>
      <w:rFonts w:ascii="Arial Bold" w:eastAsia="Times New Roman" w:cs="Sendnya"/>
      <w:b/>
      <w:iCs/>
      <w:color w:val="5C5C5C"/>
      <w:kern w:val="20"/>
      <w:sz w:val="21"/>
      <w:szCs w:val="22"/>
    </w:rPr>
  </w:style>
  <w:style w:type="paragraph" w:styleId="Heading7">
    <w:name w:val="heading 7"/>
    <w:next w:val="Normal"/>
    <w:link w:val="Heading7Char"/>
    <w:uiPriority w:val="1"/>
    <w:qFormat/>
    <w:rsid w:val="001F6B5C"/>
    <w:pPr>
      <w:keepNext/>
      <w:numPr>
        <w:ilvl w:val="6"/>
        <w:numId w:val="5"/>
      </w:numPr>
      <w:suppressAutoHyphens/>
      <w:spacing w:before="600"/>
      <w:outlineLvl w:val="6"/>
    </w:pPr>
    <w:rPr>
      <w:rFonts w:eastAsia="Times New Roman" w:cs="Times New Roman"/>
      <w:b/>
      <w:iCs/>
      <w:color w:val="5C5C5C"/>
      <w:kern w:val="20"/>
      <w:sz w:val="21"/>
    </w:rPr>
  </w:style>
  <w:style w:type="paragraph" w:styleId="Heading8">
    <w:name w:val="heading 8"/>
    <w:basedOn w:val="Normal"/>
    <w:next w:val="Normal"/>
    <w:link w:val="Heading8Char"/>
    <w:uiPriority w:val="99"/>
    <w:semiHidden/>
    <w:rsid w:val="001F6B5C"/>
    <w:pPr>
      <w:spacing w:after="120"/>
      <w:jc w:val="center"/>
      <w:outlineLvl w:val="7"/>
    </w:pPr>
    <w:rPr>
      <w:caps/>
      <w:spacing w:val="10"/>
      <w:sz w:val="20"/>
      <w:szCs w:val="20"/>
    </w:rPr>
  </w:style>
  <w:style w:type="paragraph" w:styleId="Heading9">
    <w:name w:val="heading 9"/>
    <w:basedOn w:val="Normal"/>
    <w:next w:val="Normal"/>
    <w:link w:val="Heading9Char"/>
    <w:uiPriority w:val="99"/>
    <w:semiHidden/>
    <w:rsid w:val="001F6B5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bargosticker">
    <w:name w:val="Embargo sticker"/>
    <w:uiPriority w:val="5"/>
    <w:semiHidden/>
    <w:qFormat/>
    <w:rsid w:val="001F6B5C"/>
    <w:pPr>
      <w:framePr w:w="4224" w:vSpace="567" w:wrap="around" w:hAnchor="page" w:x="1135" w:yAlign="bottom"/>
      <w:pBdr>
        <w:top w:val="single" w:sz="4" w:space="4" w:color="FF0000"/>
        <w:bottom w:val="single" w:sz="4" w:space="4" w:color="FF0000"/>
      </w:pBdr>
      <w:spacing w:before="0" w:after="0" w:line="216" w:lineRule="exact"/>
      <w:contextualSpacing/>
      <w:jc w:val="right"/>
    </w:pPr>
    <w:rPr>
      <w:rFonts w:eastAsia="Times New Roman" w:cs="Sendnya"/>
      <w:color w:val="FF0000"/>
      <w:kern w:val="18"/>
      <w:sz w:val="18"/>
      <w:szCs w:val="22"/>
    </w:rPr>
  </w:style>
  <w:style w:type="paragraph" w:customStyle="1" w:styleId="Publicationdate">
    <w:name w:val="Publication date"/>
    <w:uiPriority w:val="5"/>
    <w:semiHidden/>
    <w:rsid w:val="001F6B5C"/>
    <w:pPr>
      <w:framePr w:w="6322" w:h="567" w:hRule="exact" w:wrap="around" w:vAnchor="page" w:hAnchor="page" w:x="5586" w:y="10020"/>
      <w:spacing w:before="120" w:after="0" w:line="240" w:lineRule="auto"/>
      <w:ind w:left="227"/>
    </w:pPr>
    <w:rPr>
      <w:rFonts w:eastAsia="Times New Roman" w:cs="Sendnya"/>
      <w:b/>
      <w:color w:val="FFFFFF"/>
      <w:kern w:val="28"/>
      <w:sz w:val="28"/>
      <w:szCs w:val="22"/>
    </w:rPr>
  </w:style>
  <w:style w:type="paragraph" w:styleId="Title">
    <w:name w:val="Title"/>
    <w:next w:val="Subtitle"/>
    <w:link w:val="TitleChar"/>
    <w:uiPriority w:val="5"/>
    <w:qFormat/>
    <w:rsid w:val="001F6B5C"/>
    <w:pPr>
      <w:spacing w:before="0" w:after="250" w:line="480" w:lineRule="exact"/>
    </w:pPr>
    <w:rPr>
      <w:rFonts w:eastAsia="Times New Roman" w:cs="Sendnya"/>
      <w:b/>
      <w:bCs/>
      <w:color w:val="003299"/>
      <w:kern w:val="40"/>
      <w:sz w:val="40"/>
      <w:szCs w:val="32"/>
    </w:rPr>
  </w:style>
  <w:style w:type="character" w:customStyle="1" w:styleId="TitleChar">
    <w:name w:val="Title Char"/>
    <w:link w:val="Title"/>
    <w:uiPriority w:val="5"/>
    <w:semiHidden/>
    <w:rsid w:val="001F6B5C"/>
    <w:rPr>
      <w:rFonts w:eastAsia="Times New Roman" w:cs="Sendnya"/>
      <w:b/>
      <w:bCs/>
      <w:color w:val="003299"/>
      <w:kern w:val="40"/>
      <w:sz w:val="40"/>
      <w:szCs w:val="32"/>
    </w:rPr>
  </w:style>
  <w:style w:type="paragraph" w:styleId="Subtitle">
    <w:name w:val="Subtitle"/>
    <w:link w:val="SubtitleChar"/>
    <w:uiPriority w:val="5"/>
    <w:rsid w:val="001F6B5C"/>
    <w:pPr>
      <w:numPr>
        <w:ilvl w:val="1"/>
      </w:numPr>
      <w:spacing w:before="250" w:after="250" w:line="400" w:lineRule="exact"/>
    </w:pPr>
    <w:rPr>
      <w:rFonts w:eastAsia="Times New Roman" w:cs="Times New Roman"/>
      <w:iCs/>
      <w:color w:val="003299"/>
      <w:kern w:val="32"/>
      <w:sz w:val="32"/>
      <w:szCs w:val="24"/>
    </w:rPr>
  </w:style>
  <w:style w:type="character" w:customStyle="1" w:styleId="SubtitleChar">
    <w:name w:val="Subtitle Char"/>
    <w:link w:val="Subtitle"/>
    <w:uiPriority w:val="5"/>
    <w:semiHidden/>
    <w:rsid w:val="001F6B5C"/>
    <w:rPr>
      <w:rFonts w:eastAsia="Times New Roman" w:cs="Times New Roman"/>
      <w:iCs/>
      <w:color w:val="003299"/>
      <w:kern w:val="32"/>
      <w:sz w:val="32"/>
      <w:szCs w:val="24"/>
    </w:rPr>
  </w:style>
  <w:style w:type="paragraph" w:styleId="ListBullet">
    <w:name w:val="List Bullet"/>
    <w:uiPriority w:val="2"/>
    <w:qFormat/>
    <w:rsid w:val="001F6B5C"/>
    <w:pPr>
      <w:numPr>
        <w:numId w:val="9"/>
      </w:numPr>
      <w:suppressAutoHyphens/>
    </w:pPr>
    <w:rPr>
      <w:rFonts w:eastAsia="Times New Roman" w:cs="Sendnya"/>
      <w:color w:val="000000"/>
      <w:kern w:val="19"/>
      <w:szCs w:val="22"/>
    </w:rPr>
  </w:style>
  <w:style w:type="paragraph" w:styleId="Footer">
    <w:name w:val="footer"/>
    <w:link w:val="FooterChar"/>
    <w:uiPriority w:val="5"/>
    <w:qFormat/>
    <w:rsid w:val="001F6B5C"/>
    <w:pPr>
      <w:spacing w:before="0" w:after="0" w:line="192" w:lineRule="atLeast"/>
      <w:ind w:right="567"/>
      <w:contextualSpacing/>
    </w:pPr>
    <w:rPr>
      <w:rFonts w:eastAsia="Times New Roman" w:cs="Sendnya"/>
      <w:snapToGrid w:val="0"/>
      <w:color w:val="003299"/>
      <w:kern w:val="16"/>
      <w:sz w:val="16"/>
      <w:szCs w:val="16"/>
    </w:rPr>
  </w:style>
  <w:style w:type="character" w:customStyle="1" w:styleId="FooterChar">
    <w:name w:val="Footer Char"/>
    <w:link w:val="Footer"/>
    <w:uiPriority w:val="5"/>
    <w:rsid w:val="001F6B5C"/>
    <w:rPr>
      <w:rFonts w:eastAsia="Times New Roman" w:cs="Sendnya"/>
      <w:snapToGrid w:val="0"/>
      <w:color w:val="003299"/>
      <w:kern w:val="16"/>
      <w:sz w:val="16"/>
      <w:szCs w:val="16"/>
    </w:rPr>
  </w:style>
  <w:style w:type="paragraph" w:customStyle="1" w:styleId="Default">
    <w:name w:val="Default"/>
    <w:uiPriority w:val="99"/>
    <w:semiHidden/>
    <w:rsid w:val="001F6B5C"/>
    <w:pPr>
      <w:autoSpaceDE w:val="0"/>
      <w:autoSpaceDN w:val="0"/>
      <w:adjustRightInd w:val="0"/>
      <w:spacing w:before="240" w:after="240" w:line="340" w:lineRule="auto"/>
    </w:pPr>
    <w:rPr>
      <w:rFonts w:cs="Arial"/>
      <w:color w:val="000000"/>
    </w:rPr>
  </w:style>
  <w:style w:type="character" w:styleId="EndnoteReference">
    <w:name w:val="endnote reference"/>
    <w:basedOn w:val="DefaultParagraphFont"/>
    <w:uiPriority w:val="99"/>
    <w:semiHidden/>
    <w:rsid w:val="001F6B5C"/>
    <w:rPr>
      <w:vertAlign w:val="superscript"/>
    </w:rPr>
  </w:style>
  <w:style w:type="character" w:styleId="FootnoteReference">
    <w:name w:val="footnote reference"/>
    <w:aliases w:val="Footnote Reference_LVL6,C26 Footnote Number,Footnote Reference Number,Footnote Reference_LVL61,Footnote Reference_LVL62,Footnote Reference_LVL63,Footnote Reference_LVL64,Footnote Reference_LVL65,Footnote symbol,Re,Footnote Reference1"/>
    <w:basedOn w:val="DefaultParagraphFont"/>
    <w:uiPriority w:val="99"/>
    <w:qFormat/>
    <w:rsid w:val="001F6B5C"/>
    <w:rPr>
      <w:vertAlign w:val="superscript"/>
    </w:rPr>
  </w:style>
  <w:style w:type="paragraph" w:styleId="BalloonText">
    <w:name w:val="Balloon Text"/>
    <w:basedOn w:val="Normal"/>
    <w:link w:val="BalloonTextChar"/>
    <w:uiPriority w:val="99"/>
    <w:semiHidden/>
    <w:rsid w:val="001F6B5C"/>
    <w:rPr>
      <w:rFonts w:ascii="Tahoma" w:hAnsi="Tahoma" w:cs="Tahoma"/>
      <w:sz w:val="16"/>
      <w:szCs w:val="16"/>
    </w:rPr>
  </w:style>
  <w:style w:type="character" w:customStyle="1" w:styleId="BalloonTextChar">
    <w:name w:val="Balloon Text Char"/>
    <w:basedOn w:val="DefaultParagraphFont"/>
    <w:link w:val="BalloonText"/>
    <w:uiPriority w:val="99"/>
    <w:semiHidden/>
    <w:rsid w:val="001F6B5C"/>
    <w:rPr>
      <w:rFonts w:ascii="Tahoma" w:hAnsi="Tahoma" w:cs="Tahoma"/>
      <w:sz w:val="16"/>
      <w:szCs w:val="16"/>
    </w:rPr>
  </w:style>
  <w:style w:type="character" w:styleId="Hyperlink">
    <w:name w:val="Hyperlink"/>
    <w:uiPriority w:val="99"/>
    <w:qFormat/>
    <w:rsid w:val="001F6B5C"/>
    <w:rPr>
      <w:b w:val="0"/>
      <w:color w:val="00B1EA"/>
      <w:u w:val="none"/>
    </w:rPr>
  </w:style>
  <w:style w:type="character" w:styleId="CommentReference">
    <w:name w:val="annotation reference"/>
    <w:basedOn w:val="DefaultParagraphFont"/>
    <w:uiPriority w:val="99"/>
    <w:rsid w:val="001F6B5C"/>
    <w:rPr>
      <w:sz w:val="16"/>
      <w:szCs w:val="16"/>
    </w:rPr>
  </w:style>
  <w:style w:type="paragraph" w:styleId="CommentText">
    <w:name w:val="annotation text"/>
    <w:link w:val="CommentTextChar"/>
    <w:rsid w:val="001F6B5C"/>
    <w:pPr>
      <w:spacing w:line="288" w:lineRule="auto"/>
    </w:pPr>
    <w:rPr>
      <w:rFonts w:eastAsia="Times New Roman" w:cs="Times New Roman"/>
      <w:kern w:val="20"/>
    </w:rPr>
  </w:style>
  <w:style w:type="character" w:customStyle="1" w:styleId="CommentTextChar">
    <w:name w:val="Comment Text Char"/>
    <w:basedOn w:val="DefaultParagraphFont"/>
    <w:link w:val="CommentText"/>
    <w:rsid w:val="001F6B5C"/>
    <w:rPr>
      <w:rFonts w:eastAsia="Times New Roman" w:cs="Times New Roman"/>
      <w:kern w:val="20"/>
    </w:rPr>
  </w:style>
  <w:style w:type="paragraph" w:styleId="CommentSubject">
    <w:name w:val="annotation subject"/>
    <w:basedOn w:val="CommentText"/>
    <w:next w:val="CommentText"/>
    <w:link w:val="CommentSubjectChar"/>
    <w:uiPriority w:val="99"/>
    <w:semiHidden/>
    <w:rsid w:val="001F6B5C"/>
    <w:rPr>
      <w:b/>
      <w:bCs/>
    </w:rPr>
  </w:style>
  <w:style w:type="character" w:customStyle="1" w:styleId="CommentSubjectChar">
    <w:name w:val="Comment Subject Char"/>
    <w:basedOn w:val="CommentTextChar"/>
    <w:link w:val="CommentSubject"/>
    <w:uiPriority w:val="99"/>
    <w:semiHidden/>
    <w:rsid w:val="001F6B5C"/>
    <w:rPr>
      <w:rFonts w:eastAsia="Times New Roman" w:cs="Times New Roman"/>
      <w:b/>
      <w:bCs/>
      <w:kern w:val="20"/>
    </w:rPr>
  </w:style>
  <w:style w:type="character" w:styleId="PlaceholderText">
    <w:name w:val="Placeholder Text"/>
    <w:basedOn w:val="DefaultParagraphFont"/>
    <w:uiPriority w:val="99"/>
    <w:semiHidden/>
    <w:rsid w:val="001F6B5C"/>
    <w:rPr>
      <w:color w:val="808080"/>
    </w:rPr>
  </w:style>
  <w:style w:type="paragraph" w:styleId="Header">
    <w:name w:val="header"/>
    <w:link w:val="HeaderChar"/>
    <w:uiPriority w:val="5"/>
    <w:qFormat/>
    <w:rsid w:val="001F6B5C"/>
    <w:pPr>
      <w:spacing w:before="0" w:after="120" w:line="240" w:lineRule="auto"/>
      <w:ind w:left="3969"/>
      <w:jc w:val="right"/>
    </w:pPr>
    <w:rPr>
      <w:rFonts w:eastAsia="Times New Roman" w:cs="Times New Roman"/>
      <w:color w:val="FF0000"/>
      <w:kern w:val="16"/>
      <w:sz w:val="16"/>
    </w:rPr>
  </w:style>
  <w:style w:type="character" w:customStyle="1" w:styleId="HeaderChar">
    <w:name w:val="Header Char"/>
    <w:link w:val="Header"/>
    <w:uiPriority w:val="5"/>
    <w:semiHidden/>
    <w:rsid w:val="001F6B5C"/>
    <w:rPr>
      <w:rFonts w:eastAsia="Times New Roman" w:cs="Times New Roman"/>
      <w:color w:val="FF0000"/>
      <w:kern w:val="16"/>
      <w:sz w:val="16"/>
    </w:rPr>
  </w:style>
  <w:style w:type="character" w:styleId="Strong">
    <w:name w:val="Strong"/>
    <w:uiPriority w:val="22"/>
    <w:qFormat/>
    <w:rsid w:val="001F6B5C"/>
    <w:rPr>
      <w:b/>
      <w:bCs/>
      <w:color w:val="auto"/>
    </w:rPr>
  </w:style>
  <w:style w:type="table" w:customStyle="1" w:styleId="Abbreviations">
    <w:name w:val="Abbreviations"/>
    <w:basedOn w:val="TableNormal"/>
    <w:uiPriority w:val="99"/>
    <w:rsid w:val="001F6B5C"/>
    <w:pPr>
      <w:keepLines/>
      <w:spacing w:before="0" w:after="0" w:line="192" w:lineRule="atLeast"/>
    </w:pPr>
    <w:rPr>
      <w:rFonts w:eastAsia="Times New Roman" w:cs="Times New Roman"/>
      <w:kern w:val="16"/>
      <w:sz w:val="16"/>
    </w:rPr>
    <w:tblPr>
      <w:tblCellMar>
        <w:top w:w="28" w:type="dxa"/>
        <w:left w:w="57" w:type="dxa"/>
        <w:bottom w:w="57" w:type="dxa"/>
        <w:right w:w="57" w:type="dxa"/>
      </w:tblCellMar>
    </w:tblPr>
  </w:style>
  <w:style w:type="paragraph" w:customStyle="1" w:styleId="Authors">
    <w:name w:val="Authors"/>
    <w:basedOn w:val="Normal"/>
    <w:link w:val="AuthorsChar"/>
    <w:uiPriority w:val="5"/>
    <w:semiHidden/>
    <w:qFormat/>
    <w:rsid w:val="001F6B5C"/>
    <w:rPr>
      <w:b/>
      <w:color w:val="5C5C5C"/>
      <w:sz w:val="21"/>
    </w:rPr>
  </w:style>
  <w:style w:type="character" w:customStyle="1" w:styleId="CambriaMath">
    <w:name w:val="Cambria Math"/>
    <w:uiPriority w:val="5"/>
    <w:semiHidden/>
    <w:rsid w:val="001F6B5C"/>
    <w:rPr>
      <w:rFonts w:ascii="Cambria Math" w:hAnsi="Cambria Math"/>
    </w:rPr>
  </w:style>
  <w:style w:type="character" w:customStyle="1" w:styleId="CambriaMathItalics">
    <w:name w:val="Cambria Math Italics"/>
    <w:uiPriority w:val="5"/>
    <w:semiHidden/>
    <w:rsid w:val="001F6B5C"/>
    <w:rPr>
      <w:rFonts w:ascii="Cambria Math" w:hAnsi="Cambria Math"/>
      <w:i/>
      <w:iCs/>
    </w:rPr>
  </w:style>
  <w:style w:type="paragraph" w:customStyle="1" w:styleId="Chartright-Heading">
    <w:name w:val="Chart right - Heading"/>
    <w:link w:val="Chartright-HeadingChar"/>
    <w:uiPriority w:val="3"/>
    <w:qFormat/>
    <w:rsid w:val="001F6B5C"/>
    <w:pPr>
      <w:keepNext/>
      <w:keepLines/>
      <w:pBdr>
        <w:bottom w:val="single" w:sz="4" w:space="5" w:color="003299"/>
      </w:pBdr>
      <w:spacing w:before="0" w:after="0"/>
      <w:contextualSpacing/>
    </w:pPr>
    <w:rPr>
      <w:rFonts w:eastAsia="Times New Roman" w:cs="Sendnya"/>
      <w:color w:val="003299"/>
      <w:kern w:val="19"/>
      <w:szCs w:val="22"/>
    </w:rPr>
  </w:style>
  <w:style w:type="character" w:customStyle="1" w:styleId="Chartright-HeadingChar">
    <w:name w:val="Chart right - Heading Char"/>
    <w:link w:val="Chartright-Heading"/>
    <w:uiPriority w:val="3"/>
    <w:rsid w:val="001F6B5C"/>
    <w:rPr>
      <w:rFonts w:eastAsia="Times New Roman" w:cs="Sendnya"/>
      <w:color w:val="003299"/>
      <w:kern w:val="19"/>
      <w:szCs w:val="22"/>
    </w:rPr>
  </w:style>
  <w:style w:type="paragraph" w:customStyle="1" w:styleId="Chartright-Informativetitle">
    <w:name w:val="Chart right - Informative title"/>
    <w:uiPriority w:val="3"/>
    <w:qFormat/>
    <w:rsid w:val="001F6B5C"/>
    <w:pPr>
      <w:keepNext/>
      <w:keepLines/>
      <w:spacing w:before="100" w:after="100" w:line="192" w:lineRule="atLeast"/>
      <w:contextualSpacing/>
    </w:pPr>
    <w:rPr>
      <w:rFonts w:ascii="Arial Bold" w:eastAsia="Times New Roman" w:cs="Sendnya"/>
      <w:b/>
      <w:color w:val="5C5C5C"/>
      <w:kern w:val="16"/>
      <w:sz w:val="16"/>
      <w:szCs w:val="22"/>
    </w:rPr>
  </w:style>
  <w:style w:type="paragraph" w:customStyle="1" w:styleId="Chartright-Measure">
    <w:name w:val="Chart right - Measure"/>
    <w:link w:val="Chartright-MeasureChar"/>
    <w:uiPriority w:val="3"/>
    <w:qFormat/>
    <w:rsid w:val="001F6B5C"/>
    <w:pPr>
      <w:keepNext/>
      <w:keepLines/>
      <w:spacing w:before="100" w:after="100" w:line="144" w:lineRule="atLeast"/>
      <w:contextualSpacing/>
    </w:pPr>
    <w:rPr>
      <w:rFonts w:eastAsia="Times New Roman" w:cs="Sendnya"/>
      <w:color w:val="003299"/>
      <w:kern w:val="12"/>
      <w:sz w:val="12"/>
      <w:szCs w:val="22"/>
    </w:rPr>
  </w:style>
  <w:style w:type="character" w:customStyle="1" w:styleId="Chartright-MeasureChar">
    <w:name w:val="Chart right - Measure Char"/>
    <w:link w:val="Chartright-Measure"/>
    <w:uiPriority w:val="3"/>
    <w:rsid w:val="001F6B5C"/>
    <w:rPr>
      <w:rFonts w:eastAsia="Times New Roman" w:cs="Sendnya"/>
      <w:color w:val="003299"/>
      <w:kern w:val="12"/>
      <w:sz w:val="12"/>
      <w:szCs w:val="22"/>
    </w:rPr>
  </w:style>
  <w:style w:type="paragraph" w:customStyle="1" w:styleId="Chartright-Picture">
    <w:name w:val="Chart right - Picture"/>
    <w:link w:val="Chartright-PictureChar"/>
    <w:uiPriority w:val="3"/>
    <w:qFormat/>
    <w:rsid w:val="001F6B5C"/>
    <w:pPr>
      <w:keepNext/>
      <w:keepLines/>
      <w:spacing w:before="60" w:after="60" w:line="160" w:lineRule="atLeast"/>
    </w:pPr>
    <w:rPr>
      <w:rFonts w:eastAsia="Times New Roman" w:cs="Sendnya"/>
      <w:sz w:val="12"/>
      <w:szCs w:val="22"/>
    </w:rPr>
  </w:style>
  <w:style w:type="character" w:customStyle="1" w:styleId="Chartright-PictureChar">
    <w:name w:val="Chart right - Picture Char"/>
    <w:link w:val="Chartright-Picture"/>
    <w:uiPriority w:val="3"/>
    <w:rsid w:val="001F6B5C"/>
    <w:rPr>
      <w:rFonts w:eastAsia="Times New Roman" w:cs="Sendnya"/>
      <w:sz w:val="12"/>
      <w:szCs w:val="22"/>
    </w:rPr>
  </w:style>
  <w:style w:type="paragraph" w:customStyle="1" w:styleId="Chartright-SourcesNotes">
    <w:name w:val="Chart right - Sources &amp; Notes"/>
    <w:link w:val="Chartright-SourcesNotesChar"/>
    <w:uiPriority w:val="3"/>
    <w:qFormat/>
    <w:rsid w:val="001F6B5C"/>
    <w:pPr>
      <w:keepLines/>
      <w:pBdr>
        <w:top w:val="single" w:sz="4" w:space="5" w:color="003299"/>
      </w:pBdr>
      <w:spacing w:before="100" w:line="144" w:lineRule="atLeast"/>
      <w:contextualSpacing/>
    </w:pPr>
    <w:rPr>
      <w:rFonts w:eastAsia="Times New Roman" w:cs="Sendnya"/>
      <w:color w:val="003299"/>
      <w:kern w:val="12"/>
      <w:sz w:val="12"/>
      <w:szCs w:val="22"/>
    </w:rPr>
  </w:style>
  <w:style w:type="character" w:customStyle="1" w:styleId="Chartright-SourcesNotesChar">
    <w:name w:val="Chart right - Sources &amp; Notes Char"/>
    <w:link w:val="Chartright-SourcesNotes"/>
    <w:uiPriority w:val="3"/>
    <w:rsid w:val="001F6B5C"/>
    <w:rPr>
      <w:rFonts w:eastAsia="Times New Roman" w:cs="Sendnya"/>
      <w:color w:val="003299"/>
      <w:kern w:val="12"/>
      <w:sz w:val="12"/>
      <w:szCs w:val="22"/>
    </w:rPr>
  </w:style>
  <w:style w:type="numbering" w:customStyle="1" w:styleId="ECBBoxBulletlist">
    <w:name w:val="ECB Box Bullet list"/>
    <w:rsid w:val="001F6B5C"/>
    <w:pPr>
      <w:numPr>
        <w:numId w:val="1"/>
      </w:numPr>
    </w:pPr>
  </w:style>
  <w:style w:type="numbering" w:customStyle="1" w:styleId="ECBBoxListNumber">
    <w:name w:val="ECB Box List Number"/>
    <w:uiPriority w:val="99"/>
    <w:rsid w:val="001F6B5C"/>
    <w:pPr>
      <w:numPr>
        <w:numId w:val="2"/>
      </w:numPr>
    </w:pPr>
  </w:style>
  <w:style w:type="numbering" w:customStyle="1" w:styleId="ECBBulletlist">
    <w:name w:val="ECB Bullet list"/>
    <w:rsid w:val="001F6B5C"/>
    <w:pPr>
      <w:numPr>
        <w:numId w:val="3"/>
      </w:numPr>
    </w:pPr>
  </w:style>
  <w:style w:type="numbering" w:customStyle="1" w:styleId="ECBnumberedlist">
    <w:name w:val="ECB numbered list"/>
    <w:rsid w:val="001F6B5C"/>
    <w:pPr>
      <w:numPr>
        <w:numId w:val="4"/>
      </w:numPr>
    </w:pPr>
  </w:style>
  <w:style w:type="numbering" w:customStyle="1" w:styleId="ECBpublicationsheadings">
    <w:name w:val="ECB publications headings"/>
    <w:rsid w:val="001F6B5C"/>
    <w:pPr>
      <w:numPr>
        <w:numId w:val="5"/>
      </w:numPr>
    </w:pPr>
  </w:style>
  <w:style w:type="character" w:customStyle="1" w:styleId="Embargostrong">
    <w:name w:val="Embargo strong"/>
    <w:uiPriority w:val="5"/>
    <w:semiHidden/>
    <w:qFormat/>
    <w:rsid w:val="001F6B5C"/>
    <w:rPr>
      <w:b/>
      <w:bCs w:val="0"/>
      <w:color w:val="FF0000"/>
    </w:rPr>
  </w:style>
  <w:style w:type="character" w:styleId="Emphasis">
    <w:name w:val="Emphasis"/>
    <w:qFormat/>
    <w:rsid w:val="001F6B5C"/>
    <w:rPr>
      <w:i/>
      <w:iCs/>
    </w:rPr>
  </w:style>
  <w:style w:type="character" w:styleId="FollowedHyperlink">
    <w:name w:val="FollowedHyperlink"/>
    <w:uiPriority w:val="99"/>
    <w:semiHidden/>
    <w:rsid w:val="001F6B5C"/>
    <w:rPr>
      <w:color w:val="8139C6"/>
      <w:u w:val="none"/>
    </w:rPr>
  </w:style>
  <w:style w:type="paragraph" w:styleId="FootnoteText">
    <w:name w:val="footnote text"/>
    <w:aliases w:val="RAR Footnote,Footnote,Fußnote,C26 Footnote body,FSR footnote,lábléc,Footnote Text Char Char,text,Footnote Char,Fußnote Char,Voetnoottekst Char,Voetnoottekst Char1 Char,Voetnoottekst Char Char Char,Footnote Char Char Char,fn,f,C26,te,C2,aha"/>
    <w:link w:val="FootnoteTextChar"/>
    <w:uiPriority w:val="99"/>
    <w:qFormat/>
    <w:rsid w:val="001F6B5C"/>
    <w:pPr>
      <w:keepLines/>
      <w:suppressAutoHyphens/>
      <w:spacing w:before="0" w:after="60" w:line="180" w:lineRule="atLeast"/>
      <w:ind w:left="284" w:hanging="284"/>
    </w:pPr>
    <w:rPr>
      <w:rFonts w:eastAsia="Times New Roman" w:cs="Sendnya"/>
      <w:color w:val="000000"/>
      <w:kern w:val="15"/>
      <w:sz w:val="15"/>
      <w:szCs w:val="18"/>
    </w:rPr>
  </w:style>
  <w:style w:type="character" w:customStyle="1" w:styleId="FootnoteTextChar">
    <w:name w:val="Footnote Text Char"/>
    <w:aliases w:val="RAR Footnote Char,Footnote Char1,Fußnote Char1,C26 Footnote body Char,FSR footnote Char,lábléc Char,Footnote Text Char Char Char,text Char,Footnote Char Char,Fußnote Char Char,Voetnoottekst Char Char,Voetnoottekst Char1 Char Char"/>
    <w:link w:val="FootnoteText"/>
    <w:uiPriority w:val="1"/>
    <w:rsid w:val="001F6B5C"/>
    <w:rPr>
      <w:rFonts w:eastAsia="Times New Roman" w:cs="Sendnya"/>
      <w:color w:val="000000"/>
      <w:kern w:val="15"/>
      <w:sz w:val="15"/>
      <w:szCs w:val="18"/>
    </w:rPr>
  </w:style>
  <w:style w:type="character" w:customStyle="1" w:styleId="Heading1Char">
    <w:name w:val="Heading 1 Char"/>
    <w:link w:val="Heading1"/>
    <w:uiPriority w:val="1"/>
    <w:rsid w:val="001F6B5C"/>
    <w:rPr>
      <w:rFonts w:eastAsia="Times New Roman" w:cs="Sendnya"/>
      <w:bCs/>
      <w:color w:val="003299"/>
      <w:kern w:val="40"/>
      <w:sz w:val="40"/>
      <w:szCs w:val="28"/>
    </w:rPr>
  </w:style>
  <w:style w:type="character" w:customStyle="1" w:styleId="Heading2Char">
    <w:name w:val="Heading 2 Char"/>
    <w:link w:val="Heading2"/>
    <w:uiPriority w:val="1"/>
    <w:rsid w:val="001F6B5C"/>
    <w:rPr>
      <w:rFonts w:eastAsia="Times New Roman" w:cs="Sendnya"/>
      <w:bCs/>
      <w:color w:val="003299"/>
      <w:kern w:val="28"/>
      <w:sz w:val="28"/>
      <w:szCs w:val="28"/>
    </w:rPr>
  </w:style>
  <w:style w:type="character" w:customStyle="1" w:styleId="Heading3Char">
    <w:name w:val="Heading 3 Char"/>
    <w:link w:val="Heading3"/>
    <w:uiPriority w:val="1"/>
    <w:rsid w:val="001F6B5C"/>
    <w:rPr>
      <w:rFonts w:eastAsia="Times New Roman" w:cs="Sendnya"/>
      <w:bCs/>
      <w:color w:val="003299"/>
      <w:kern w:val="24"/>
      <w:sz w:val="24"/>
      <w:szCs w:val="24"/>
    </w:rPr>
  </w:style>
  <w:style w:type="character" w:customStyle="1" w:styleId="Heading4Char">
    <w:name w:val="Heading 4 Char"/>
    <w:link w:val="Heading4"/>
    <w:uiPriority w:val="1"/>
    <w:rsid w:val="001F6B5C"/>
    <w:rPr>
      <w:rFonts w:eastAsia="Times New Roman" w:cs="Sendnya"/>
      <w:bCs/>
      <w:iCs/>
      <w:color w:val="003299"/>
      <w:kern w:val="24"/>
      <w:sz w:val="24"/>
      <w:szCs w:val="22"/>
    </w:rPr>
  </w:style>
  <w:style w:type="character" w:customStyle="1" w:styleId="Heading5Char">
    <w:name w:val="Heading 5 Char"/>
    <w:link w:val="Heading5"/>
    <w:uiPriority w:val="1"/>
    <w:rsid w:val="001F6B5C"/>
    <w:rPr>
      <w:rFonts w:eastAsia="Times New Roman" w:cs="Sendnya"/>
      <w:color w:val="003299"/>
      <w:kern w:val="24"/>
      <w:sz w:val="24"/>
      <w:szCs w:val="22"/>
    </w:rPr>
  </w:style>
  <w:style w:type="character" w:customStyle="1" w:styleId="Heading6Char">
    <w:name w:val="Heading 6 Char"/>
    <w:link w:val="Heading6"/>
    <w:uiPriority w:val="1"/>
    <w:rsid w:val="001F6B5C"/>
    <w:rPr>
      <w:rFonts w:ascii="Arial Bold" w:eastAsia="Times New Roman" w:cs="Sendnya"/>
      <w:b/>
      <w:iCs/>
      <w:color w:val="5C5C5C"/>
      <w:kern w:val="20"/>
      <w:sz w:val="21"/>
      <w:szCs w:val="22"/>
    </w:rPr>
  </w:style>
  <w:style w:type="character" w:customStyle="1" w:styleId="Heading7Char">
    <w:name w:val="Heading 7 Char"/>
    <w:basedOn w:val="DefaultParagraphFont"/>
    <w:link w:val="Heading7"/>
    <w:uiPriority w:val="1"/>
    <w:rsid w:val="001F6B5C"/>
    <w:rPr>
      <w:rFonts w:eastAsia="Times New Roman" w:cs="Times New Roman"/>
      <w:b/>
      <w:iCs/>
      <w:color w:val="5C5C5C"/>
      <w:kern w:val="20"/>
      <w:sz w:val="21"/>
    </w:rPr>
  </w:style>
  <w:style w:type="paragraph" w:customStyle="1" w:styleId="Imprintheadlinetop">
    <w:name w:val="Imprint headline_top"/>
    <w:uiPriority w:val="5"/>
    <w:semiHidden/>
    <w:qFormat/>
    <w:rsid w:val="001F6B5C"/>
    <w:pPr>
      <w:pageBreakBefore/>
      <w:spacing w:before="0" w:after="60" w:line="192" w:lineRule="atLeast"/>
      <w:contextualSpacing/>
      <w:outlineLvl w:val="0"/>
    </w:pPr>
    <w:rPr>
      <w:rFonts w:ascii="Arial Bold" w:eastAsia="Times New Roman" w:cs="Calibri"/>
      <w:b/>
      <w:color w:val="003299"/>
      <w:kern w:val="16"/>
      <w:sz w:val="16"/>
      <w:szCs w:val="18"/>
    </w:rPr>
  </w:style>
  <w:style w:type="paragraph" w:customStyle="1" w:styleId="Imprinttextbottom">
    <w:name w:val="Imprint text_bottom"/>
    <w:uiPriority w:val="5"/>
    <w:qFormat/>
    <w:rsid w:val="001F6B5C"/>
    <w:pPr>
      <w:keepLines/>
      <w:framePr w:w="9639" w:wrap="notBeside" w:hAnchor="page" w:x="1135" w:yAlign="bottom"/>
      <w:pBdr>
        <w:top w:val="single" w:sz="4" w:space="6" w:color="003299"/>
        <w:left w:val="single" w:sz="4" w:space="6" w:color="003299"/>
        <w:bottom w:val="single" w:sz="4" w:space="6" w:color="003299"/>
        <w:right w:val="single" w:sz="4" w:space="6" w:color="003299"/>
      </w:pBdr>
      <w:tabs>
        <w:tab w:val="left" w:pos="1418"/>
        <w:tab w:val="left" w:pos="1985"/>
      </w:tabs>
      <w:suppressAutoHyphens/>
      <w:autoSpaceDE w:val="0"/>
      <w:autoSpaceDN w:val="0"/>
      <w:adjustRightInd w:val="0"/>
      <w:spacing w:before="114" w:after="0" w:line="192" w:lineRule="atLeast"/>
      <w:textAlignment w:val="center"/>
    </w:pPr>
    <w:rPr>
      <w:rFonts w:eastAsia="Times New Roman" w:cs="Calibri"/>
      <w:color w:val="003299"/>
      <w:kern w:val="16"/>
      <w:sz w:val="16"/>
      <w:szCs w:val="18"/>
    </w:rPr>
  </w:style>
  <w:style w:type="paragraph" w:customStyle="1" w:styleId="Imprinttexttop">
    <w:name w:val="Imprint text_top"/>
    <w:uiPriority w:val="5"/>
    <w:semiHidden/>
    <w:qFormat/>
    <w:rsid w:val="001F6B5C"/>
    <w:pPr>
      <w:tabs>
        <w:tab w:val="left" w:pos="851"/>
      </w:tabs>
      <w:spacing w:before="0" w:after="0" w:line="192" w:lineRule="atLeast"/>
    </w:pPr>
    <w:rPr>
      <w:rFonts w:eastAsia="Times New Roman" w:cs="Calibri"/>
      <w:color w:val="000000"/>
      <w:kern w:val="16"/>
      <w:sz w:val="16"/>
      <w:szCs w:val="18"/>
    </w:rPr>
  </w:style>
  <w:style w:type="character" w:styleId="IntenseEmphasis">
    <w:name w:val="Intense Emphasis"/>
    <w:aliases w:val="Chart Title"/>
    <w:uiPriority w:val="21"/>
    <w:qFormat/>
    <w:rsid w:val="001F6B5C"/>
    <w:rPr>
      <w:b/>
      <w:bCs/>
      <w:i w:val="0"/>
      <w:iCs/>
      <w:color w:val="003299"/>
    </w:rPr>
  </w:style>
  <w:style w:type="paragraph" w:styleId="ListBullet2">
    <w:name w:val="List Bullet 2"/>
    <w:uiPriority w:val="2"/>
    <w:qFormat/>
    <w:rsid w:val="001F6B5C"/>
    <w:pPr>
      <w:numPr>
        <w:ilvl w:val="1"/>
        <w:numId w:val="9"/>
      </w:numPr>
      <w:suppressAutoHyphens/>
    </w:pPr>
    <w:rPr>
      <w:rFonts w:eastAsia="Times New Roman" w:cs="Sendnya"/>
      <w:color w:val="000000"/>
      <w:kern w:val="19"/>
      <w:szCs w:val="22"/>
    </w:rPr>
  </w:style>
  <w:style w:type="paragraph" w:styleId="ListBullet3">
    <w:name w:val="List Bullet 3"/>
    <w:uiPriority w:val="2"/>
    <w:qFormat/>
    <w:rsid w:val="001F6B5C"/>
    <w:pPr>
      <w:numPr>
        <w:ilvl w:val="2"/>
        <w:numId w:val="9"/>
      </w:numPr>
      <w:suppressAutoHyphens/>
    </w:pPr>
    <w:rPr>
      <w:rFonts w:eastAsia="Times New Roman" w:cs="Sendnya"/>
      <w:color w:val="000000"/>
      <w:kern w:val="19"/>
      <w:szCs w:val="22"/>
    </w:rPr>
  </w:style>
  <w:style w:type="paragraph" w:styleId="ListNumber">
    <w:name w:val="List Number"/>
    <w:uiPriority w:val="2"/>
    <w:qFormat/>
    <w:rsid w:val="001F6B5C"/>
    <w:pPr>
      <w:numPr>
        <w:numId w:val="10"/>
      </w:numPr>
      <w:suppressAutoHyphens/>
    </w:pPr>
    <w:rPr>
      <w:rFonts w:eastAsia="Times New Roman" w:cs="Sendnya"/>
      <w:color w:val="000000"/>
      <w:kern w:val="19"/>
      <w:szCs w:val="22"/>
    </w:rPr>
  </w:style>
  <w:style w:type="paragraph" w:styleId="ListNumber2">
    <w:name w:val="List Number 2"/>
    <w:uiPriority w:val="2"/>
    <w:qFormat/>
    <w:rsid w:val="001F6B5C"/>
    <w:pPr>
      <w:numPr>
        <w:ilvl w:val="1"/>
        <w:numId w:val="10"/>
      </w:numPr>
      <w:suppressAutoHyphens/>
    </w:pPr>
    <w:rPr>
      <w:rFonts w:eastAsia="Times New Roman" w:cs="Sendnya"/>
      <w:color w:val="000000"/>
      <w:kern w:val="19"/>
      <w:szCs w:val="22"/>
    </w:rPr>
  </w:style>
  <w:style w:type="paragraph" w:styleId="ListNumber3">
    <w:name w:val="List Number 3"/>
    <w:uiPriority w:val="2"/>
    <w:qFormat/>
    <w:rsid w:val="001F6B5C"/>
    <w:pPr>
      <w:numPr>
        <w:ilvl w:val="2"/>
        <w:numId w:val="10"/>
      </w:numPr>
    </w:pPr>
    <w:rPr>
      <w:rFonts w:eastAsia="Times New Roman" w:cs="Sendnya"/>
      <w:color w:val="000000"/>
      <w:kern w:val="19"/>
      <w:szCs w:val="22"/>
    </w:rPr>
  </w:style>
  <w:style w:type="paragraph" w:customStyle="1" w:styleId="Logo">
    <w:name w:val="Logo"/>
    <w:uiPriority w:val="5"/>
    <w:semiHidden/>
    <w:rsid w:val="001F6B5C"/>
    <w:pPr>
      <w:spacing w:before="0" w:after="0" w:line="240" w:lineRule="auto"/>
      <w:jc w:val="center"/>
    </w:pPr>
    <w:rPr>
      <w:rFonts w:eastAsia="Times New Roman" w:cs="Sendnya"/>
      <w:bCs/>
      <w:color w:val="000000"/>
      <w:sz w:val="16"/>
      <w:szCs w:val="32"/>
    </w:rPr>
  </w:style>
  <w:style w:type="paragraph" w:customStyle="1" w:styleId="Networkmarker">
    <w:name w:val="Network marker"/>
    <w:uiPriority w:val="5"/>
    <w:semiHidden/>
    <w:qFormat/>
    <w:rsid w:val="001F6B5C"/>
    <w:pPr>
      <w:framePr w:w="4224" w:wrap="around" w:hAnchor="page" w:x="1135" w:yAlign="bottom"/>
      <w:pBdr>
        <w:top w:val="single" w:sz="4" w:space="4" w:color="003299"/>
        <w:bottom w:val="single" w:sz="4" w:space="4" w:color="003299"/>
      </w:pBdr>
      <w:spacing w:before="0" w:after="0" w:line="240" w:lineRule="auto"/>
      <w:jc w:val="center"/>
    </w:pPr>
    <w:rPr>
      <w:rFonts w:eastAsia="Times New Roman" w:cs="Sendnya"/>
      <w:b/>
      <w:color w:val="003299"/>
      <w:kern w:val="19"/>
      <w:szCs w:val="22"/>
    </w:rPr>
  </w:style>
  <w:style w:type="paragraph" w:customStyle="1" w:styleId="Note">
    <w:name w:val="Note"/>
    <w:uiPriority w:val="5"/>
    <w:semiHidden/>
    <w:qFormat/>
    <w:rsid w:val="001F6B5C"/>
    <w:pPr>
      <w:framePr w:w="9639" w:wrap="around" w:vAnchor="page" w:hAnchor="page" w:xAlign="center" w:yAlign="bottom"/>
      <w:spacing w:before="0" w:line="240" w:lineRule="atLeast"/>
      <w:contextualSpacing/>
    </w:pPr>
    <w:rPr>
      <w:rFonts w:eastAsia="Times New Roman" w:cs="Sendnya"/>
      <w:color w:val="003299"/>
      <w:kern w:val="20"/>
      <w:szCs w:val="22"/>
    </w:rPr>
  </w:style>
  <w:style w:type="paragraph" w:customStyle="1" w:styleId="PageNumbers">
    <w:name w:val="Page Numbers"/>
    <w:uiPriority w:val="5"/>
    <w:semiHidden/>
    <w:qFormat/>
    <w:rsid w:val="001F6B5C"/>
    <w:pPr>
      <w:framePr w:wrap="around" w:vAnchor="page" w:hAnchor="margin" w:xAlign="right" w:yAlign="bottom"/>
      <w:spacing w:before="0" w:after="420" w:line="240" w:lineRule="auto"/>
    </w:pPr>
    <w:rPr>
      <w:rFonts w:eastAsia="Times New Roman" w:cs="Sendnya"/>
      <w:snapToGrid w:val="0"/>
      <w:color w:val="003299"/>
      <w:kern w:val="20"/>
      <w:szCs w:val="16"/>
    </w:rPr>
  </w:style>
  <w:style w:type="character" w:customStyle="1" w:styleId="Subscript">
    <w:name w:val="Subscript"/>
    <w:uiPriority w:val="5"/>
    <w:qFormat/>
    <w:rsid w:val="001F6B5C"/>
    <w:rPr>
      <w:color w:val="auto"/>
      <w:vertAlign w:val="subscript"/>
    </w:rPr>
  </w:style>
  <w:style w:type="table" w:customStyle="1" w:styleId="Tablecentrealigned">
    <w:name w:val="Table centre aligned"/>
    <w:basedOn w:val="TableNormal"/>
    <w:uiPriority w:val="99"/>
    <w:rsid w:val="001F6B5C"/>
    <w:pPr>
      <w:spacing w:before="60" w:after="60" w:line="160" w:lineRule="atLeast"/>
      <w:ind w:left="57" w:right="57"/>
      <w:jc w:val="center"/>
    </w:pPr>
    <w:rPr>
      <w:rFonts w:eastAsia="Times New Roman" w:cs="Times New Roman"/>
      <w:kern w:val="12"/>
      <w:sz w:val="12"/>
    </w:rPr>
    <w:tblPr>
      <w:tblStyleRowBandSize w:val="1"/>
      <w:tblStyleColBandSize w:val="1"/>
      <w:tblCellMar>
        <w:left w:w="0" w:type="dxa"/>
        <w:right w:w="0" w:type="dxa"/>
      </w:tblCellMar>
    </w:tblPr>
    <w:tcPr>
      <w:shd w:val="clear" w:color="auto" w:fill="auto"/>
    </w:tc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shd w:val="clear" w:color="auto" w:fill="auto"/>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tblStylePr w:type="band2Horz">
      <w:tblPr/>
      <w:tcPr>
        <w:tcBorders>
          <w:top w:val="nil"/>
          <w:left w:val="single" w:sz="4" w:space="0" w:color="003299"/>
          <w:bottom w:val="nil"/>
          <w:right w:val="nil"/>
          <w:insideH w:val="nil"/>
          <w:insideV w:val="nil"/>
          <w:tl2br w:val="nil"/>
          <w:tr2bl w:val="nil"/>
        </w:tcBorders>
        <w:shd w:val="clear" w:color="auto" w:fill="auto"/>
      </w:tcPr>
    </w:tblStylePr>
  </w:style>
  <w:style w:type="table" w:customStyle="1" w:styleId="Tableleftaligned">
    <w:name w:val="Table left aligned"/>
    <w:basedOn w:val="TableNormal"/>
    <w:uiPriority w:val="99"/>
    <w:rsid w:val="001F6B5C"/>
    <w:pPr>
      <w:keepLines/>
      <w:spacing w:before="60" w:after="60" w:line="160" w:lineRule="atLeast"/>
      <w:ind w:left="57" w:right="57"/>
    </w:pPr>
    <w:rPr>
      <w:rFonts w:eastAsia="Times New Roman" w:cs="Times New Roman"/>
      <w:kern w:val="12"/>
      <w:sz w:val="12"/>
    </w:rPr>
    <w:tblPr>
      <w:tblStyleRowBandSize w:val="1"/>
      <w:tblStyleColBandSize w:val="1"/>
      <w:tblCellMar>
        <w:left w:w="0" w:type="dxa"/>
        <w:right w:w="0" w:type="dxa"/>
      </w:tblCellMar>
    </w:tbl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table" w:customStyle="1" w:styleId="Tablerightaligned">
    <w:name w:val="Table right aligned"/>
    <w:basedOn w:val="TableNormal"/>
    <w:uiPriority w:val="99"/>
    <w:rsid w:val="001F6B5C"/>
    <w:pPr>
      <w:keepLines/>
      <w:spacing w:before="60" w:after="60" w:line="160" w:lineRule="atLeast"/>
      <w:ind w:left="57" w:right="57"/>
      <w:jc w:val="right"/>
    </w:pPr>
    <w:rPr>
      <w:rFonts w:eastAsia="Times New Roman" w:cs="Times New Roman"/>
      <w:kern w:val="12"/>
      <w:sz w:val="12"/>
    </w:rPr>
    <w:tblPr>
      <w:tblStyleRowBandSize w:val="1"/>
      <w:tblStyleColBandSize w:val="1"/>
      <w:tblCellMar>
        <w:left w:w="0" w:type="dxa"/>
        <w:right w:w="0" w:type="dxa"/>
      </w:tblCellMar>
    </w:tblPr>
    <w:tcPr>
      <w:vAlign w:val="bottom"/>
    </w:tcPr>
    <w:tblStylePr w:type="firstRow">
      <w:pPr>
        <w:wordWrap/>
        <w:jc w:val="center"/>
      </w:pPr>
      <w:rPr>
        <w:b/>
        <w:color w:val="003299"/>
      </w:rPr>
      <w:tblPr/>
      <w:tcPr>
        <w:tcBorders>
          <w:top w:val="nil"/>
          <w:left w:val="nil"/>
          <w:bottom w:val="single" w:sz="4" w:space="0" w:color="003299"/>
          <w:right w:val="nil"/>
          <w:insideH w:val="nil"/>
          <w:insideV w:val="single" w:sz="4" w:space="0" w:color="003299"/>
          <w:tl2br w:val="nil"/>
          <w:tr2bl w:val="nil"/>
        </w:tcBorders>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paragraph" w:styleId="TOC1">
    <w:name w:val="toc 1"/>
    <w:next w:val="Normal"/>
    <w:uiPriority w:val="39"/>
    <w:qFormat/>
    <w:rsid w:val="001F6B5C"/>
    <w:pPr>
      <w:tabs>
        <w:tab w:val="right" w:pos="7144"/>
      </w:tabs>
      <w:ind w:left="567" w:right="567" w:hanging="567"/>
    </w:pPr>
    <w:rPr>
      <w:rFonts w:eastAsia="Times New Roman" w:cs="Sendnya"/>
      <w:b/>
      <w:bCs/>
      <w:color w:val="003299"/>
      <w:kern w:val="19"/>
      <w:szCs w:val="22"/>
    </w:rPr>
  </w:style>
  <w:style w:type="paragraph" w:styleId="TOC2">
    <w:name w:val="toc 2"/>
    <w:next w:val="Normal"/>
    <w:uiPriority w:val="39"/>
    <w:qFormat/>
    <w:rsid w:val="001F6B5C"/>
    <w:pPr>
      <w:tabs>
        <w:tab w:val="right" w:pos="7144"/>
      </w:tabs>
      <w:ind w:left="1134" w:right="567" w:hanging="567"/>
    </w:pPr>
    <w:rPr>
      <w:rFonts w:eastAsia="Times New Roman" w:cs="Sendnya"/>
      <w:bCs/>
      <w:noProof/>
      <w:color w:val="003299"/>
      <w:kern w:val="19"/>
      <w:szCs w:val="22"/>
    </w:rPr>
  </w:style>
  <w:style w:type="paragraph" w:styleId="TOC3">
    <w:name w:val="toc 3"/>
    <w:next w:val="Normal"/>
    <w:uiPriority w:val="39"/>
    <w:qFormat/>
    <w:rsid w:val="001F6B5C"/>
    <w:pPr>
      <w:tabs>
        <w:tab w:val="right" w:pos="7144"/>
      </w:tabs>
      <w:ind w:left="1276" w:right="567" w:hanging="709"/>
    </w:pPr>
    <w:rPr>
      <w:rFonts w:eastAsia="Times New Roman" w:cs="Times New Roman"/>
      <w:iCs/>
      <w:color w:val="5C5C5C"/>
      <w:kern w:val="19"/>
    </w:rPr>
  </w:style>
  <w:style w:type="paragraph" w:styleId="TOCHeading">
    <w:name w:val="TOC Heading"/>
    <w:next w:val="TOC1"/>
    <w:uiPriority w:val="39"/>
    <w:semiHidden/>
    <w:qFormat/>
    <w:rsid w:val="001F6B5C"/>
    <w:pPr>
      <w:keepNext/>
      <w:keepLines/>
      <w:spacing w:before="0" w:after="400" w:line="520" w:lineRule="atLeast"/>
    </w:pPr>
    <w:rPr>
      <w:rFonts w:eastAsia="Times New Roman" w:cs="Sendnya"/>
      <w:bCs/>
      <w:color w:val="003299"/>
      <w:kern w:val="40"/>
      <w:sz w:val="40"/>
      <w:szCs w:val="28"/>
      <w:lang w:eastAsia="ja-JP"/>
    </w:rPr>
  </w:style>
  <w:style w:type="paragraph" w:styleId="NormalWeb">
    <w:name w:val="Normal (Web)"/>
    <w:basedOn w:val="Normal"/>
    <w:uiPriority w:val="99"/>
    <w:semiHidden/>
    <w:rsid w:val="001F6B5C"/>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1F6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tadata">
    <w:name w:val="Metadata"/>
    <w:basedOn w:val="Tableleftaligned"/>
    <w:uiPriority w:val="99"/>
    <w:rsid w:val="001F6B5C"/>
    <w:pPr>
      <w:spacing w:line="200" w:lineRule="atLeast"/>
    </w:pPr>
    <w:rPr>
      <w:sz w:val="16"/>
    </w:rPr>
    <w:tbl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character" w:customStyle="1" w:styleId="AuthorsChar">
    <w:name w:val="Authors Char"/>
    <w:basedOn w:val="DefaultParagraphFont"/>
    <w:link w:val="Authors"/>
    <w:uiPriority w:val="5"/>
    <w:semiHidden/>
    <w:rsid w:val="001F6B5C"/>
    <w:rPr>
      <w:b/>
      <w:color w:val="5C5C5C"/>
      <w:sz w:val="21"/>
    </w:rPr>
  </w:style>
  <w:style w:type="paragraph" w:customStyle="1" w:styleId="Authors-titlepage">
    <w:name w:val="Authors - titlepage"/>
    <w:uiPriority w:val="5"/>
    <w:semiHidden/>
    <w:rsid w:val="001F6B5C"/>
    <w:pPr>
      <w:framePr w:w="4224" w:hSpace="227" w:wrap="around" w:vAnchor="text" w:hAnchor="page" w:x="1135" w:y="1"/>
      <w:spacing w:before="60" w:after="0" w:line="240" w:lineRule="atLeast"/>
      <w:contextualSpacing/>
      <w:jc w:val="right"/>
    </w:pPr>
    <w:rPr>
      <w:rFonts w:eastAsia="Times New Roman" w:cs="Sendnya"/>
      <w:color w:val="003299"/>
      <w:kern w:val="20"/>
      <w:szCs w:val="22"/>
    </w:rPr>
  </w:style>
  <w:style w:type="paragraph" w:customStyle="1" w:styleId="Box-Authors">
    <w:name w:val="Box - Authors"/>
    <w:uiPriority w:val="4"/>
    <w:qFormat/>
    <w:rsid w:val="001F6B5C"/>
    <w:pPr>
      <w:keepNext/>
      <w:keepLines/>
      <w:tabs>
        <w:tab w:val="left" w:pos="1814"/>
      </w:tabs>
      <w:spacing w:before="100" w:after="100" w:line="192" w:lineRule="atLeast"/>
      <w:ind w:left="-2495" w:right="1247"/>
    </w:pPr>
    <w:rPr>
      <w:rFonts w:ascii="Arial Bold" w:eastAsia="Times New Roman" w:cs="Sendnya"/>
      <w:b/>
      <w:color w:val="5C5C5C"/>
      <w:kern w:val="16"/>
      <w:sz w:val="16"/>
      <w:szCs w:val="22"/>
    </w:rPr>
  </w:style>
  <w:style w:type="paragraph" w:customStyle="1" w:styleId="Box-Charttextwide-Heading">
    <w:name w:val="Box - Chart text wide - Heading"/>
    <w:uiPriority w:val="4"/>
    <w:qFormat/>
    <w:rsid w:val="001F6B5C"/>
    <w:pPr>
      <w:keepNext/>
      <w:keepLines/>
      <w:pBdr>
        <w:bottom w:val="single" w:sz="4" w:space="5" w:color="003299"/>
      </w:pBdr>
      <w:spacing w:after="0"/>
      <w:ind w:left="-2495" w:right="1247"/>
      <w:contextualSpacing/>
    </w:pPr>
    <w:rPr>
      <w:rFonts w:eastAsia="Times New Roman" w:cs="Sendnya"/>
      <w:color w:val="003299"/>
      <w:kern w:val="19"/>
      <w:szCs w:val="22"/>
    </w:rPr>
  </w:style>
  <w:style w:type="paragraph" w:customStyle="1" w:styleId="Box-Charttextwide-Informativetitle">
    <w:name w:val="Box - Chart text wide - Informative title"/>
    <w:uiPriority w:val="3"/>
    <w:qFormat/>
    <w:rsid w:val="001F6B5C"/>
    <w:pPr>
      <w:keepNext/>
      <w:keepLines/>
      <w:tabs>
        <w:tab w:val="left" w:pos="1814"/>
      </w:tabs>
      <w:spacing w:before="100" w:after="100" w:line="192" w:lineRule="atLeast"/>
      <w:ind w:left="-2495" w:right="1247"/>
    </w:pPr>
    <w:rPr>
      <w:rFonts w:ascii="Arial Bold" w:eastAsia="Times New Roman" w:cs="Sendnya"/>
      <w:b/>
      <w:color w:val="5C5C5C"/>
      <w:kern w:val="16"/>
      <w:sz w:val="16"/>
      <w:szCs w:val="22"/>
    </w:rPr>
  </w:style>
  <w:style w:type="paragraph" w:customStyle="1" w:styleId="Box-Charttextwide-Measure">
    <w:name w:val="Box - Chart text wide - Measure"/>
    <w:uiPriority w:val="4"/>
    <w:qFormat/>
    <w:rsid w:val="001F6B5C"/>
    <w:pPr>
      <w:keepNext/>
      <w:keepLines/>
      <w:tabs>
        <w:tab w:val="left" w:pos="1814"/>
      </w:tabs>
      <w:spacing w:before="100" w:after="100" w:line="144" w:lineRule="atLeast"/>
      <w:ind w:left="-2495" w:right="1247"/>
      <w:contextualSpacing/>
    </w:pPr>
    <w:rPr>
      <w:rFonts w:eastAsia="Times New Roman" w:cs="Times New Roman"/>
      <w:color w:val="003299"/>
      <w:kern w:val="12"/>
      <w:sz w:val="12"/>
    </w:rPr>
  </w:style>
  <w:style w:type="paragraph" w:customStyle="1" w:styleId="Box-Charttextwide-Picture">
    <w:name w:val="Box - Chart text wide - Picture"/>
    <w:basedOn w:val="Normal"/>
    <w:uiPriority w:val="4"/>
    <w:qFormat/>
    <w:rsid w:val="001F6B5C"/>
    <w:pPr>
      <w:keepNext/>
      <w:keepLines/>
      <w:framePr w:w="8335" w:wrap="notBeside" w:vAnchor="text" w:hAnchor="page" w:x="1163" w:y="1"/>
      <w:spacing w:before="60" w:after="60" w:line="160" w:lineRule="atLeast"/>
      <w:ind w:left="57" w:right="57"/>
    </w:pPr>
    <w:rPr>
      <w:rFonts w:cs="Sendnya"/>
      <w:bCs/>
      <w:kern w:val="12"/>
      <w:sz w:val="12"/>
      <w:szCs w:val="22"/>
    </w:rPr>
  </w:style>
  <w:style w:type="paragraph" w:customStyle="1" w:styleId="Box-Charttextwide-SourcesNotes">
    <w:name w:val="Box - Chart text wide - Sources &amp; Notes"/>
    <w:uiPriority w:val="4"/>
    <w:qFormat/>
    <w:rsid w:val="001F6B5C"/>
    <w:pPr>
      <w:pBdr>
        <w:top w:val="single" w:sz="4" w:space="5" w:color="003299"/>
      </w:pBdr>
      <w:suppressAutoHyphens/>
      <w:spacing w:before="100" w:line="144" w:lineRule="atLeast"/>
      <w:ind w:left="-2495" w:right="1247"/>
      <w:contextualSpacing/>
    </w:pPr>
    <w:rPr>
      <w:rFonts w:eastAsia="Times New Roman" w:cs="Sendnya"/>
      <w:color w:val="003299"/>
      <w:kern w:val="12"/>
      <w:sz w:val="12"/>
      <w:szCs w:val="22"/>
    </w:rPr>
  </w:style>
  <w:style w:type="paragraph" w:customStyle="1" w:styleId="Box-Heading">
    <w:name w:val="Box - Heading"/>
    <w:uiPriority w:val="4"/>
    <w:qFormat/>
    <w:rsid w:val="001F6B5C"/>
    <w:pPr>
      <w:keepNext/>
      <w:pBdr>
        <w:left w:val="single" w:sz="4" w:space="0" w:color="FFFFFF" w:themeColor="background1"/>
        <w:bottom w:val="single" w:sz="4" w:space="5" w:color="003299"/>
        <w:right w:val="single" w:sz="4" w:space="0" w:color="FFFFFF" w:themeColor="background1"/>
      </w:pBdr>
      <w:spacing w:before="400" w:after="0"/>
      <w:ind w:left="-2495" w:right="1247"/>
      <w:contextualSpacing/>
      <w:outlineLvl w:val="1"/>
    </w:pPr>
    <w:rPr>
      <w:rFonts w:eastAsia="Times New Roman" w:cs="Sendnya"/>
      <w:color w:val="003299"/>
      <w:kern w:val="21"/>
      <w:sz w:val="21"/>
      <w:szCs w:val="22"/>
    </w:rPr>
  </w:style>
  <w:style w:type="paragraph" w:customStyle="1" w:styleId="Box-Headline">
    <w:name w:val="Box - Headline"/>
    <w:next w:val="Normal"/>
    <w:uiPriority w:val="4"/>
    <w:qFormat/>
    <w:rsid w:val="001F6B5C"/>
    <w:pPr>
      <w:keepNext/>
      <w:suppressAutoHyphens/>
      <w:spacing w:before="300" w:after="100"/>
      <w:ind w:left="-2495" w:right="1247"/>
    </w:pPr>
    <w:rPr>
      <w:rFonts w:ascii="Arial Bold" w:eastAsia="Times New Roman" w:cs="Sendnya"/>
      <w:b/>
      <w:color w:val="003299"/>
      <w:kern w:val="18"/>
      <w:sz w:val="18"/>
      <w:szCs w:val="22"/>
    </w:rPr>
  </w:style>
  <w:style w:type="paragraph" w:customStyle="1" w:styleId="Box-ListBullet1">
    <w:name w:val="Box - List Bullet 1"/>
    <w:uiPriority w:val="4"/>
    <w:qFormat/>
    <w:rsid w:val="001F6B5C"/>
    <w:pPr>
      <w:keepLines/>
      <w:numPr>
        <w:numId w:val="6"/>
      </w:numPr>
      <w:ind w:right="1247"/>
    </w:pPr>
    <w:rPr>
      <w:rFonts w:eastAsia="Times New Roman" w:cs="Sendnya"/>
      <w:color w:val="003299"/>
      <w:kern w:val="19"/>
      <w:szCs w:val="22"/>
    </w:rPr>
  </w:style>
  <w:style w:type="paragraph" w:customStyle="1" w:styleId="Box-ListBullet2">
    <w:name w:val="Box - List Bullet 2"/>
    <w:uiPriority w:val="4"/>
    <w:qFormat/>
    <w:rsid w:val="001F6B5C"/>
    <w:pPr>
      <w:keepLines/>
      <w:numPr>
        <w:ilvl w:val="1"/>
        <w:numId w:val="6"/>
      </w:numPr>
      <w:ind w:right="1247"/>
    </w:pPr>
    <w:rPr>
      <w:rFonts w:eastAsia="Times New Roman" w:cs="Sendnya"/>
      <w:color w:val="003299"/>
      <w:kern w:val="19"/>
      <w:szCs w:val="22"/>
    </w:rPr>
  </w:style>
  <w:style w:type="paragraph" w:customStyle="1" w:styleId="Box-ListNumber1">
    <w:name w:val="Box - List Number 1"/>
    <w:uiPriority w:val="4"/>
    <w:qFormat/>
    <w:rsid w:val="001F6B5C"/>
    <w:pPr>
      <w:keepLines/>
      <w:numPr>
        <w:numId w:val="7"/>
      </w:numPr>
      <w:ind w:right="1247"/>
    </w:pPr>
    <w:rPr>
      <w:rFonts w:eastAsia="Times New Roman" w:cs="Sendnya"/>
      <w:color w:val="003299"/>
      <w:kern w:val="19"/>
      <w:szCs w:val="22"/>
    </w:rPr>
  </w:style>
  <w:style w:type="paragraph" w:customStyle="1" w:styleId="Box-ListNumber2">
    <w:name w:val="Box - List Number 2"/>
    <w:uiPriority w:val="4"/>
    <w:qFormat/>
    <w:rsid w:val="001F6B5C"/>
    <w:pPr>
      <w:keepLines/>
      <w:numPr>
        <w:ilvl w:val="1"/>
        <w:numId w:val="7"/>
      </w:numPr>
      <w:ind w:right="1247"/>
    </w:pPr>
    <w:rPr>
      <w:rFonts w:eastAsia="Times New Roman" w:cs="Sendnya"/>
      <w:color w:val="003299"/>
      <w:kern w:val="19"/>
      <w:szCs w:val="22"/>
    </w:rPr>
  </w:style>
  <w:style w:type="paragraph" w:customStyle="1" w:styleId="Box-Text">
    <w:name w:val="Box - Text"/>
    <w:uiPriority w:val="3"/>
    <w:qFormat/>
    <w:rsid w:val="001F6B5C"/>
    <w:pPr>
      <w:suppressAutoHyphens/>
      <w:spacing w:before="100"/>
      <w:ind w:left="-2495" w:right="1247"/>
    </w:pPr>
    <w:rPr>
      <w:rFonts w:eastAsia="Times New Roman" w:cs="Sendnya"/>
      <w:color w:val="003299"/>
      <w:kern w:val="19"/>
      <w:szCs w:val="22"/>
    </w:rPr>
  </w:style>
  <w:style w:type="paragraph" w:customStyle="1" w:styleId="Margintext">
    <w:name w:val="Margin text"/>
    <w:uiPriority w:val="2"/>
    <w:qFormat/>
    <w:rsid w:val="001F6B5C"/>
    <w:pPr>
      <w:framePr w:w="2240" w:hSpace="227" w:wrap="around" w:vAnchor="text" w:hAnchor="page" w:x="1135" w:y="58"/>
      <w:suppressAutoHyphens/>
      <w:spacing w:before="0" w:after="100" w:line="180" w:lineRule="atLeast"/>
    </w:pPr>
    <w:rPr>
      <w:rFonts w:eastAsia="Times New Roman" w:cs="Sendnya"/>
      <w:color w:val="003299"/>
      <w:kern w:val="14"/>
      <w:sz w:val="14"/>
      <w:szCs w:val="22"/>
    </w:rPr>
  </w:style>
  <w:style w:type="paragraph" w:customStyle="1" w:styleId="Sub-subtitle">
    <w:name w:val="Sub-subtitle"/>
    <w:uiPriority w:val="5"/>
    <w:semiHidden/>
    <w:rsid w:val="001F6B5C"/>
    <w:pPr>
      <w:spacing w:before="250" w:after="250" w:line="300" w:lineRule="exact"/>
    </w:pPr>
    <w:rPr>
      <w:rFonts w:eastAsia="Times New Roman" w:cs="Times New Roman"/>
      <w:color w:val="848484"/>
      <w:kern w:val="24"/>
      <w:sz w:val="24"/>
    </w:rPr>
  </w:style>
  <w:style w:type="paragraph" w:customStyle="1" w:styleId="B7F3739971404B3FADF10DAED9310A16">
    <w:name w:val="B7F3739971404B3FADF10DAED9310A16"/>
    <w:rsid w:val="001F6B5C"/>
    <w:pPr>
      <w:spacing w:before="0" w:line="276" w:lineRule="auto"/>
    </w:pPr>
    <w:rPr>
      <w:rFonts w:asciiTheme="minorHAnsi" w:hAnsiTheme="minorHAnsi"/>
      <w:sz w:val="22"/>
      <w:szCs w:val="22"/>
    </w:rPr>
  </w:style>
  <w:style w:type="paragraph" w:styleId="TOC4">
    <w:name w:val="toc 4"/>
    <w:basedOn w:val="Normal"/>
    <w:next w:val="Normal"/>
    <w:autoRedefine/>
    <w:uiPriority w:val="39"/>
    <w:semiHidden/>
    <w:rsid w:val="001F6B5C"/>
    <w:pPr>
      <w:spacing w:after="100"/>
      <w:ind w:left="851" w:right="567"/>
    </w:pPr>
  </w:style>
  <w:style w:type="paragraph" w:styleId="TOC5">
    <w:name w:val="toc 5"/>
    <w:basedOn w:val="Normal"/>
    <w:next w:val="Normal"/>
    <w:autoRedefine/>
    <w:uiPriority w:val="39"/>
    <w:semiHidden/>
    <w:rsid w:val="001F6B5C"/>
    <w:pPr>
      <w:spacing w:after="100"/>
      <w:ind w:left="1134" w:right="567"/>
    </w:pPr>
  </w:style>
  <w:style w:type="paragraph" w:styleId="TOC6">
    <w:name w:val="toc 6"/>
    <w:basedOn w:val="Normal"/>
    <w:next w:val="Normal"/>
    <w:autoRedefine/>
    <w:uiPriority w:val="39"/>
    <w:semiHidden/>
    <w:rsid w:val="001F6B5C"/>
    <w:pPr>
      <w:spacing w:after="100"/>
      <w:ind w:left="1418"/>
    </w:pPr>
  </w:style>
  <w:style w:type="table" w:customStyle="1" w:styleId="ChartDuo">
    <w:name w:val="Chart Duo"/>
    <w:basedOn w:val="TableNormal"/>
    <w:uiPriority w:val="99"/>
    <w:rsid w:val="00182D7C"/>
    <w:pPr>
      <w:spacing w:before="60" w:after="60" w:line="160" w:lineRule="atLeast"/>
      <w:ind w:left="28" w:right="28"/>
    </w:pPr>
    <w:rPr>
      <w:color w:val="003299"/>
      <w:sz w:val="12"/>
    </w:rPr>
    <w:tblPr>
      <w:tblBorders>
        <w:insideV w:val="single" w:sz="2" w:space="0" w:color="D9D9D9" w:themeColor="background1" w:themeShade="D9"/>
      </w:tblBorders>
      <w:tblCellMar>
        <w:left w:w="0" w:type="dxa"/>
        <w:right w:w="0" w:type="dxa"/>
      </w:tblCellMar>
    </w:tblPr>
    <w:tblStylePr w:type="firstRow">
      <w:pPr>
        <w:wordWrap/>
        <w:spacing w:beforeLines="0" w:before="0" w:beforeAutospacing="0" w:afterLines="0" w:after="0" w:afterAutospacing="0" w:line="192" w:lineRule="atLeast"/>
      </w:pPr>
      <w:rPr>
        <w:rFonts w:ascii="Arial Bold" w:hAnsi="Arial Bold"/>
        <w:b w:val="0"/>
        <w:color w:val="5C5C5C"/>
        <w:sz w:val="16"/>
      </w:rPr>
      <w:tblPr/>
      <w:tcPr>
        <w:tcBorders>
          <w:top w:val="nil"/>
          <w:left w:val="nil"/>
          <w:bottom w:val="single" w:sz="4" w:space="0" w:color="D9D9D9" w:themeColor="background1" w:themeShade="D9"/>
          <w:right w:val="nil"/>
          <w:insideH w:val="nil"/>
          <w:insideV w:val="single" w:sz="4" w:space="0" w:color="D9D9D9" w:themeColor="background1" w:themeShade="D9"/>
          <w:tl2br w:val="nil"/>
          <w:tr2bl w:val="nil"/>
        </w:tcBorders>
      </w:tcPr>
    </w:tblStylePr>
    <w:tblStylePr w:type="firstCol">
      <w:pPr>
        <w:wordWrap/>
        <w:spacing w:beforeLines="0" w:before="0" w:beforeAutospacing="0" w:afterLines="0" w:after="0" w:afterAutospacing="0" w:line="240" w:lineRule="auto"/>
        <w:ind w:leftChars="0" w:left="0" w:rightChars="0" w:right="0"/>
        <w:jc w:val="left"/>
      </w:pPr>
    </w:tblStylePr>
  </w:style>
  <w:style w:type="character" w:customStyle="1" w:styleId="Duochart-informativetitle">
    <w:name w:val="Duo chart - informative title"/>
    <w:basedOn w:val="DefaultParagraphFont"/>
    <w:uiPriority w:val="1"/>
    <w:qFormat/>
    <w:rsid w:val="00182D7C"/>
    <w:rPr>
      <w:b/>
      <w:color w:val="5C5C5C"/>
      <w:sz w:val="16"/>
    </w:rPr>
  </w:style>
  <w:style w:type="paragraph" w:styleId="Caption">
    <w:name w:val="caption"/>
    <w:basedOn w:val="Normal"/>
    <w:next w:val="Normal"/>
    <w:uiPriority w:val="99"/>
    <w:semiHidden/>
    <w:qFormat/>
    <w:rsid w:val="001F6B5C"/>
    <w:pPr>
      <w:spacing w:before="0" w:line="240" w:lineRule="auto"/>
    </w:pPr>
    <w:rPr>
      <w:b/>
      <w:bCs/>
      <w:color w:val="4F81BD" w:themeColor="accent1"/>
      <w:sz w:val="18"/>
      <w:szCs w:val="18"/>
    </w:rPr>
  </w:style>
  <w:style w:type="paragraph" w:customStyle="1" w:styleId="Box-Tabletext">
    <w:name w:val="Box - Table text"/>
    <w:basedOn w:val="Box-Charttextwide-Picture"/>
    <w:uiPriority w:val="4"/>
    <w:qFormat/>
    <w:rsid w:val="001F6B5C"/>
    <w:pPr>
      <w:framePr w:wrap="notBeside"/>
    </w:pPr>
    <w:rPr>
      <w:rFonts w:eastAsia="Times New Roman"/>
    </w:rPr>
  </w:style>
  <w:style w:type="paragraph" w:customStyle="1" w:styleId="Box-Tabletext-bordertop">
    <w:name w:val="Box - Table text - border top"/>
    <w:basedOn w:val="Box-Tabletext"/>
    <w:uiPriority w:val="4"/>
    <w:qFormat/>
    <w:rsid w:val="001F6B5C"/>
    <w:pPr>
      <w:framePr w:wrap="notBeside"/>
    </w:pPr>
  </w:style>
  <w:style w:type="paragraph" w:styleId="Date">
    <w:name w:val="Date"/>
    <w:next w:val="Normal"/>
    <w:link w:val="DateChar"/>
    <w:uiPriority w:val="99"/>
    <w:semiHidden/>
    <w:qFormat/>
    <w:rsid w:val="001F6B5C"/>
    <w:pPr>
      <w:framePr w:w="6322" w:h="510" w:hRule="exact" w:wrap="around" w:vAnchor="page" w:hAnchor="page" w:x="5586" w:y="10065"/>
      <w:spacing w:before="80" w:after="60"/>
      <w:ind w:left="227"/>
    </w:pPr>
    <w:rPr>
      <w:rFonts w:eastAsia="Times New Roman" w:cs="Sendnya"/>
      <w:b/>
      <w:color w:val="FFFFFF"/>
      <w:sz w:val="28"/>
      <w:szCs w:val="22"/>
    </w:rPr>
  </w:style>
  <w:style w:type="character" w:customStyle="1" w:styleId="DateChar">
    <w:name w:val="Date Char"/>
    <w:basedOn w:val="DefaultParagraphFont"/>
    <w:link w:val="Date"/>
    <w:uiPriority w:val="99"/>
    <w:semiHidden/>
    <w:rsid w:val="001F6B5C"/>
    <w:rPr>
      <w:rFonts w:eastAsia="Times New Roman" w:cs="Sendnya"/>
      <w:b/>
      <w:color w:val="FFFFFF"/>
      <w:sz w:val="28"/>
      <w:szCs w:val="22"/>
    </w:rPr>
  </w:style>
  <w:style w:type="paragraph" w:styleId="EndnoteText">
    <w:name w:val="endnote text"/>
    <w:basedOn w:val="Normal"/>
    <w:link w:val="EndnoteTextChar"/>
    <w:uiPriority w:val="99"/>
    <w:semiHidden/>
    <w:rsid w:val="001F6B5C"/>
    <w:pPr>
      <w:spacing w:before="0"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1F6B5C"/>
    <w:rPr>
      <w:rFonts w:eastAsiaTheme="minorHAnsi"/>
      <w:sz w:val="20"/>
      <w:szCs w:val="20"/>
      <w:lang w:eastAsia="en-US"/>
    </w:rPr>
  </w:style>
  <w:style w:type="character" w:customStyle="1" w:styleId="Heading8Char">
    <w:name w:val="Heading 8 Char"/>
    <w:basedOn w:val="DefaultParagraphFont"/>
    <w:link w:val="Heading8"/>
    <w:uiPriority w:val="99"/>
    <w:semiHidden/>
    <w:rsid w:val="001F6B5C"/>
    <w:rPr>
      <w:caps/>
      <w:spacing w:val="10"/>
      <w:sz w:val="20"/>
      <w:szCs w:val="20"/>
    </w:rPr>
  </w:style>
  <w:style w:type="character" w:customStyle="1" w:styleId="Heading9Char">
    <w:name w:val="Heading 9 Char"/>
    <w:basedOn w:val="DefaultParagraphFont"/>
    <w:link w:val="Heading9"/>
    <w:uiPriority w:val="99"/>
    <w:semiHidden/>
    <w:rsid w:val="001F6B5C"/>
    <w:rPr>
      <w:i/>
      <w:iCs/>
      <w:caps/>
      <w:spacing w:val="10"/>
      <w:sz w:val="20"/>
      <w:szCs w:val="20"/>
    </w:rPr>
  </w:style>
  <w:style w:type="paragraph" w:styleId="IntenseQuote">
    <w:name w:val="Intense Quote"/>
    <w:basedOn w:val="Normal"/>
    <w:next w:val="Normal"/>
    <w:link w:val="IntenseQuoteChar"/>
    <w:uiPriority w:val="99"/>
    <w:rsid w:val="001F6B5C"/>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99"/>
    <w:semiHidden/>
    <w:rsid w:val="001F6B5C"/>
    <w:rPr>
      <w:caps/>
      <w:color w:val="622423" w:themeColor="accent2" w:themeShade="7F"/>
      <w:spacing w:val="5"/>
      <w:sz w:val="20"/>
      <w:szCs w:val="20"/>
    </w:rPr>
  </w:style>
  <w:style w:type="character" w:styleId="IntenseReference">
    <w:name w:val="Intense Reference"/>
    <w:uiPriority w:val="99"/>
    <w:rsid w:val="001F6B5C"/>
    <w:rPr>
      <w:rFonts w:asciiTheme="minorHAnsi" w:eastAsiaTheme="minorEastAsia" w:hAnsiTheme="minorHAnsi" w:cstheme="minorBidi"/>
      <w:b/>
      <w:bCs/>
      <w:i/>
      <w:iCs/>
      <w:color w:val="622423" w:themeColor="accent2" w:themeShade="7F"/>
    </w:rPr>
  </w:style>
  <w:style w:type="table" w:styleId="LightShading">
    <w:name w:val="Light Shading"/>
    <w:basedOn w:val="TableNormal"/>
    <w:uiPriority w:val="60"/>
    <w:rsid w:val="001F6B5C"/>
    <w:pPr>
      <w:spacing w:before="0" w:after="0" w:line="240" w:lineRule="auto"/>
    </w:pPr>
    <w:rPr>
      <w:rFonts w:eastAsia="Times New Roman"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4">
    <w:name w:val="List Bullet 4"/>
    <w:basedOn w:val="Normal"/>
    <w:uiPriority w:val="99"/>
    <w:rsid w:val="001F6B5C"/>
    <w:pPr>
      <w:tabs>
        <w:tab w:val="num" w:pos="1209"/>
      </w:tabs>
      <w:ind w:left="1209" w:hanging="360"/>
      <w:contextualSpacing/>
    </w:pPr>
  </w:style>
  <w:style w:type="paragraph" w:styleId="ListParagraph">
    <w:name w:val="List Paragraph"/>
    <w:basedOn w:val="Normal"/>
    <w:uiPriority w:val="34"/>
    <w:qFormat/>
    <w:rsid w:val="001F6B5C"/>
    <w:pPr>
      <w:spacing w:before="0" w:line="276" w:lineRule="auto"/>
      <w:ind w:left="720"/>
    </w:pPr>
    <w:rPr>
      <w:rFonts w:ascii="Calibri" w:eastAsia="Calibri" w:hAnsi="Calibri"/>
      <w:sz w:val="22"/>
      <w:lang w:eastAsia="en-US"/>
    </w:rPr>
  </w:style>
  <w:style w:type="paragraph" w:styleId="NoSpacing">
    <w:name w:val="No Spacing"/>
    <w:link w:val="NoSpacingChar"/>
    <w:uiPriority w:val="99"/>
    <w:qFormat/>
    <w:rsid w:val="001F6B5C"/>
    <w:rPr>
      <w:rFonts w:ascii="Calibri" w:eastAsia="MS Mincho" w:hAnsi="Calibri" w:cs="Arial"/>
      <w:sz w:val="22"/>
      <w:szCs w:val="22"/>
      <w:lang w:val="en-US" w:eastAsia="ja-JP"/>
    </w:rPr>
  </w:style>
  <w:style w:type="character" w:styleId="PageNumber">
    <w:name w:val="page number"/>
    <w:basedOn w:val="DefaultParagraphFont"/>
    <w:uiPriority w:val="99"/>
    <w:semiHidden/>
    <w:rsid w:val="001F6B5C"/>
  </w:style>
  <w:style w:type="paragraph" w:styleId="Quote">
    <w:name w:val="Quote"/>
    <w:basedOn w:val="Normal"/>
    <w:next w:val="Normal"/>
    <w:link w:val="QuoteChar"/>
    <w:uiPriority w:val="99"/>
    <w:rsid w:val="001F6B5C"/>
    <w:rPr>
      <w:i/>
      <w:iCs/>
    </w:rPr>
  </w:style>
  <w:style w:type="character" w:customStyle="1" w:styleId="QuoteChar">
    <w:name w:val="Quote Char"/>
    <w:basedOn w:val="DefaultParagraphFont"/>
    <w:link w:val="Quote"/>
    <w:uiPriority w:val="99"/>
    <w:semiHidden/>
    <w:rsid w:val="001F6B5C"/>
    <w:rPr>
      <w:i/>
      <w:iCs/>
    </w:rPr>
  </w:style>
  <w:style w:type="character" w:styleId="SubtleEmphasis">
    <w:name w:val="Subtle Emphasis"/>
    <w:uiPriority w:val="99"/>
    <w:rsid w:val="001F6B5C"/>
    <w:rPr>
      <w:i/>
      <w:iCs/>
    </w:rPr>
  </w:style>
  <w:style w:type="character" w:styleId="SubtleReference">
    <w:name w:val="Subtle Reference"/>
    <w:uiPriority w:val="99"/>
    <w:qFormat/>
    <w:rsid w:val="001F6B5C"/>
    <w:rPr>
      <w:smallCaps/>
      <w:color w:val="C0504D"/>
      <w:u w:val="single"/>
    </w:rPr>
  </w:style>
  <w:style w:type="table" w:styleId="TableColorful1">
    <w:name w:val="Table Colorful 1"/>
    <w:basedOn w:val="TableNormal"/>
    <w:uiPriority w:val="99"/>
    <w:semiHidden/>
    <w:unhideWhenUsed/>
    <w:rsid w:val="001F6B5C"/>
    <w:rPr>
      <w:rFonts w:eastAsia="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rightaligned1">
    <w:name w:val="Table right aligned1"/>
    <w:basedOn w:val="TableNormal"/>
    <w:uiPriority w:val="99"/>
    <w:rsid w:val="001F6B5C"/>
    <w:pPr>
      <w:keepLines/>
      <w:spacing w:before="60" w:after="60" w:line="160" w:lineRule="atLeast"/>
      <w:ind w:left="57" w:right="57"/>
      <w:jc w:val="right"/>
    </w:pPr>
    <w:rPr>
      <w:rFonts w:eastAsia="Times New Roman" w:cs="Times New Roman"/>
      <w:kern w:val="12"/>
      <w:sz w:val="12"/>
    </w:rPr>
    <w:tblPr>
      <w:tblStyleRowBandSize w:val="1"/>
      <w:tblStyleColBandSize w:val="1"/>
      <w:tblCellMar>
        <w:left w:w="0" w:type="dxa"/>
        <w:right w:w="0" w:type="dxa"/>
      </w:tblCellMar>
    </w:tblPr>
    <w:tcPr>
      <w:vAlign w:val="bottom"/>
    </w:tcPr>
    <w:tblStylePr w:type="firstRow">
      <w:pPr>
        <w:wordWrap/>
        <w:jc w:val="center"/>
      </w:pPr>
      <w:rPr>
        <w:b/>
        <w:color w:val="003299"/>
      </w:rPr>
      <w:tblPr/>
      <w:tcPr>
        <w:tcBorders>
          <w:top w:val="nil"/>
          <w:left w:val="nil"/>
          <w:bottom w:val="single" w:sz="4" w:space="0" w:color="003299"/>
          <w:right w:val="nil"/>
          <w:insideH w:val="nil"/>
          <w:insideV w:val="single" w:sz="4" w:space="0" w:color="003299"/>
          <w:tl2br w:val="nil"/>
          <w:tr2bl w:val="nil"/>
        </w:tcBorders>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cPr>
    </w:tblStylePr>
  </w:style>
  <w:style w:type="table" w:customStyle="1" w:styleId="Tablerightaligned2">
    <w:name w:val="Table right aligned2"/>
    <w:basedOn w:val="TableNormal"/>
    <w:uiPriority w:val="99"/>
    <w:rsid w:val="001F6B5C"/>
    <w:pPr>
      <w:keepLines/>
      <w:spacing w:before="60" w:after="60" w:line="160" w:lineRule="atLeast"/>
      <w:ind w:left="57" w:right="57"/>
      <w:jc w:val="right"/>
    </w:pPr>
    <w:rPr>
      <w:rFonts w:eastAsia="Times New Roman" w:cs="Times New Roman"/>
      <w:kern w:val="12"/>
      <w:sz w:val="12"/>
    </w:rPr>
    <w:tblPr>
      <w:tblStyleRowBandSize w:val="1"/>
      <w:tblStyleColBandSize w:val="1"/>
      <w:tblCellMar>
        <w:left w:w="0" w:type="dxa"/>
        <w:right w:w="0" w:type="dxa"/>
      </w:tblCellMar>
    </w:tblPr>
    <w:tcPr>
      <w:vAlign w:val="bottom"/>
    </w:tcPr>
    <w:tblStylePr w:type="firstRow">
      <w:pPr>
        <w:wordWrap/>
        <w:jc w:val="center"/>
      </w:pPr>
      <w:rPr>
        <w:b/>
        <w:color w:val="003299"/>
      </w:rPr>
      <w:tblPr/>
      <w:tcPr>
        <w:tcBorders>
          <w:top w:val="nil"/>
          <w:left w:val="nil"/>
          <w:bottom w:val="single" w:sz="4" w:space="0" w:color="003299"/>
          <w:right w:val="nil"/>
          <w:insideH w:val="nil"/>
          <w:insideV w:val="single" w:sz="4" w:space="0" w:color="003299"/>
          <w:tl2br w:val="nil"/>
          <w:tr2bl w:val="nil"/>
        </w:tcBorders>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table" w:customStyle="1" w:styleId="Tablerightaligned3">
    <w:name w:val="Table right aligned3"/>
    <w:basedOn w:val="TableNormal"/>
    <w:uiPriority w:val="99"/>
    <w:rsid w:val="001F6B5C"/>
    <w:pPr>
      <w:keepLines/>
      <w:spacing w:before="60" w:after="60" w:line="160" w:lineRule="atLeast"/>
      <w:ind w:left="57" w:right="57"/>
      <w:jc w:val="right"/>
    </w:pPr>
    <w:rPr>
      <w:rFonts w:eastAsia="Times New Roman" w:cs="Times New Roman"/>
      <w:kern w:val="12"/>
      <w:sz w:val="12"/>
    </w:rPr>
    <w:tblPr>
      <w:tblStyleRowBandSize w:val="1"/>
      <w:tblStyleColBandSize w:val="1"/>
      <w:tblCellMar>
        <w:left w:w="0" w:type="dxa"/>
        <w:right w:w="0" w:type="dxa"/>
      </w:tblCellMar>
    </w:tblPr>
    <w:tcPr>
      <w:vAlign w:val="bottom"/>
    </w:tcPr>
    <w:tblStylePr w:type="firstRow">
      <w:pPr>
        <w:wordWrap/>
        <w:jc w:val="center"/>
      </w:pPr>
      <w:rPr>
        <w:b/>
        <w:color w:val="003299"/>
      </w:rPr>
      <w:tblPr/>
      <w:tcPr>
        <w:tcBorders>
          <w:top w:val="nil"/>
          <w:left w:val="nil"/>
          <w:bottom w:val="single" w:sz="4" w:space="0" w:color="003299"/>
          <w:right w:val="nil"/>
          <w:insideH w:val="nil"/>
          <w:insideV w:val="single" w:sz="4" w:space="0" w:color="003299"/>
          <w:tl2br w:val="nil"/>
          <w:tr2bl w:val="nil"/>
        </w:tcBorders>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cPr>
    </w:tblStylePr>
  </w:style>
  <w:style w:type="table" w:customStyle="1" w:styleId="Tablerightaligned4">
    <w:name w:val="Table right aligned4"/>
    <w:basedOn w:val="TableNormal"/>
    <w:uiPriority w:val="99"/>
    <w:rsid w:val="001F6B5C"/>
    <w:pPr>
      <w:keepLines/>
      <w:spacing w:before="60" w:after="60" w:line="160" w:lineRule="atLeast"/>
      <w:ind w:left="57" w:right="57"/>
      <w:jc w:val="right"/>
    </w:pPr>
    <w:rPr>
      <w:rFonts w:eastAsia="Times New Roman" w:cs="Times New Roman"/>
      <w:kern w:val="12"/>
      <w:sz w:val="12"/>
    </w:rPr>
    <w:tblPr>
      <w:tblStyleRowBandSize w:val="1"/>
      <w:tblStyleColBandSize w:val="1"/>
      <w:tblCellMar>
        <w:left w:w="0" w:type="dxa"/>
        <w:right w:w="0" w:type="dxa"/>
      </w:tblCellMar>
    </w:tblPr>
    <w:tcPr>
      <w:vAlign w:val="bottom"/>
    </w:tcPr>
    <w:tblStylePr w:type="firstRow">
      <w:pPr>
        <w:wordWrap/>
        <w:jc w:val="center"/>
      </w:pPr>
      <w:rPr>
        <w:b/>
        <w:color w:val="003299"/>
      </w:rPr>
      <w:tblPr/>
      <w:tcPr>
        <w:tcBorders>
          <w:top w:val="nil"/>
          <w:left w:val="nil"/>
          <w:bottom w:val="single" w:sz="4" w:space="0" w:color="003299"/>
          <w:right w:val="nil"/>
          <w:insideH w:val="nil"/>
          <w:insideV w:val="single" w:sz="4" w:space="0" w:color="003299"/>
          <w:tl2br w:val="nil"/>
          <w:tr2bl w:val="nil"/>
        </w:tcBorders>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pPr>
        <w:jc w:val="left"/>
      </w:pPr>
      <w:rPr>
        <w:b/>
        <w:color w:val="003299"/>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cPr>
    </w:tblStylePr>
  </w:style>
  <w:style w:type="paragraph" w:customStyle="1" w:styleId="Tabletext">
    <w:name w:val="Table text"/>
    <w:basedOn w:val="Chartright-Picture"/>
    <w:uiPriority w:val="3"/>
    <w:qFormat/>
    <w:rsid w:val="001F6B5C"/>
  </w:style>
  <w:style w:type="paragraph" w:customStyle="1" w:styleId="Tabletext-bordertop">
    <w:name w:val="Table text - border top"/>
    <w:basedOn w:val="Tabletext"/>
    <w:uiPriority w:val="3"/>
    <w:qFormat/>
    <w:rsid w:val="001F6B5C"/>
  </w:style>
  <w:style w:type="paragraph" w:styleId="TOC7">
    <w:name w:val="toc 7"/>
    <w:basedOn w:val="Normal"/>
    <w:next w:val="Normal"/>
    <w:autoRedefine/>
    <w:uiPriority w:val="39"/>
    <w:semiHidden/>
    <w:rsid w:val="001F6B5C"/>
    <w:pPr>
      <w:spacing w:after="100"/>
      <w:ind w:left="1140"/>
    </w:pPr>
  </w:style>
  <w:style w:type="paragraph" w:styleId="TOC8">
    <w:name w:val="toc 8"/>
    <w:basedOn w:val="Normal"/>
    <w:next w:val="Normal"/>
    <w:autoRedefine/>
    <w:uiPriority w:val="39"/>
    <w:semiHidden/>
    <w:rsid w:val="001F6B5C"/>
    <w:pPr>
      <w:spacing w:after="100"/>
      <w:ind w:left="1330"/>
    </w:pPr>
  </w:style>
  <w:style w:type="paragraph" w:styleId="TOC9">
    <w:name w:val="toc 9"/>
    <w:basedOn w:val="Normal"/>
    <w:next w:val="Normal"/>
    <w:autoRedefine/>
    <w:uiPriority w:val="39"/>
    <w:semiHidden/>
    <w:rsid w:val="001F6B5C"/>
    <w:pPr>
      <w:spacing w:after="100"/>
      <w:ind w:left="1520"/>
    </w:pPr>
  </w:style>
  <w:style w:type="character" w:styleId="UnresolvedMention">
    <w:name w:val="Unresolved Mention"/>
    <w:basedOn w:val="DefaultParagraphFont"/>
    <w:uiPriority w:val="99"/>
    <w:semiHidden/>
    <w:rsid w:val="001F6B5C"/>
    <w:rPr>
      <w:color w:val="605E5C"/>
      <w:shd w:val="clear" w:color="auto" w:fill="E1DFDD"/>
    </w:rPr>
  </w:style>
  <w:style w:type="paragraph" w:styleId="Revision">
    <w:name w:val="Revision"/>
    <w:hidden/>
    <w:uiPriority w:val="99"/>
    <w:semiHidden/>
    <w:rsid w:val="001A2CF6"/>
    <w:rPr>
      <w:rFonts w:eastAsia="Times New Roman" w:cs="Sendnya"/>
      <w:color w:val="000000"/>
      <w:szCs w:val="22"/>
    </w:rPr>
  </w:style>
  <w:style w:type="paragraph" w:styleId="ListBullet5">
    <w:name w:val="List Bullet 5"/>
    <w:basedOn w:val="Normal"/>
    <w:uiPriority w:val="99"/>
    <w:rsid w:val="001A2CF6"/>
    <w:pPr>
      <w:tabs>
        <w:tab w:val="num" w:pos="55"/>
      </w:tabs>
      <w:spacing w:before="0" w:after="120" w:line="288" w:lineRule="auto"/>
      <w:ind w:left="55" w:hanging="425"/>
      <w:contextualSpacing/>
    </w:pPr>
    <w:rPr>
      <w:rFonts w:asciiTheme="minorHAnsi" w:eastAsiaTheme="minorHAnsi" w:hAnsiTheme="minorHAnsi"/>
      <w:sz w:val="20"/>
      <w:szCs w:val="24"/>
      <w:lang w:eastAsia="en-US"/>
    </w:rPr>
  </w:style>
  <w:style w:type="paragraph" w:styleId="BlockText">
    <w:name w:val="Block Text"/>
    <w:basedOn w:val="Normal"/>
    <w:uiPriority w:val="99"/>
    <w:semiHidden/>
    <w:rsid w:val="001A2CF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
    <w:name w:val="Body Text"/>
    <w:basedOn w:val="Normal"/>
    <w:link w:val="BodyTextChar"/>
    <w:uiPriority w:val="99"/>
    <w:semiHidden/>
    <w:rsid w:val="001A2CF6"/>
    <w:pPr>
      <w:spacing w:after="120"/>
    </w:pPr>
  </w:style>
  <w:style w:type="character" w:customStyle="1" w:styleId="BodyTextChar">
    <w:name w:val="Body Text Char"/>
    <w:basedOn w:val="DefaultParagraphFont"/>
    <w:link w:val="BodyText"/>
    <w:uiPriority w:val="99"/>
    <w:semiHidden/>
    <w:rsid w:val="001A2CF6"/>
  </w:style>
  <w:style w:type="character" w:styleId="Mention">
    <w:name w:val="Mention"/>
    <w:basedOn w:val="DefaultParagraphFont"/>
    <w:uiPriority w:val="99"/>
    <w:semiHidden/>
    <w:rsid w:val="001A2CF6"/>
    <w:rPr>
      <w:color w:val="2B579A"/>
      <w:shd w:val="clear" w:color="auto" w:fill="E1DFDD"/>
    </w:rPr>
  </w:style>
  <w:style w:type="table" w:styleId="PlainTable1">
    <w:name w:val="Plain Table 1"/>
    <w:basedOn w:val="TableNormal"/>
    <w:uiPriority w:val="41"/>
    <w:rsid w:val="001A2C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link w:val="NoSpacing"/>
    <w:uiPriority w:val="99"/>
    <w:rsid w:val="00C23A0A"/>
    <w:rPr>
      <w:rFonts w:ascii="Calibri" w:eastAsia="MS Mincho" w:hAnsi="Calibri" w:cs="Arial"/>
      <w:sz w:val="22"/>
      <w:szCs w:val="22"/>
      <w:lang w:val="en-US" w:eastAsia="ja-JP"/>
    </w:rPr>
  </w:style>
  <w:style w:type="table" w:customStyle="1" w:styleId="MetadataPublication">
    <w:name w:val="Metadata_Publication"/>
    <w:basedOn w:val="Tableleftaligned"/>
    <w:uiPriority w:val="99"/>
    <w:rsid w:val="00C23A0A"/>
    <w:pPr>
      <w:spacing w:line="200" w:lineRule="atLeast"/>
    </w:pPr>
    <w:rPr>
      <w:color w:val="FF0000"/>
      <w:sz w:val="16"/>
    </w:rPr>
    <w:tblPr/>
    <w:tblStylePr w:type="firstRow">
      <w:pPr>
        <w:jc w:val="center"/>
      </w:pPr>
      <w:rPr>
        <w:b/>
        <w:color w:val="003299"/>
      </w:rPr>
      <w:tblPr/>
      <w:tcPr>
        <w:tcBorders>
          <w:top w:val="nil"/>
          <w:left w:val="nil"/>
          <w:bottom w:val="single" w:sz="4" w:space="0" w:color="003299"/>
          <w:right w:val="nil"/>
          <w:insideH w:val="nil"/>
          <w:insideV w:val="single" w:sz="4" w:space="0" w:color="003299"/>
          <w:tl2br w:val="nil"/>
          <w:tr2bl w:val="nil"/>
        </w:tcBorders>
        <w:vAlign w:val="bottom"/>
      </w:tcPr>
    </w:tblStylePr>
    <w:tblStylePr w:type="lastRow">
      <w:rPr>
        <w:b/>
        <w:color w:val="003299"/>
      </w:rPr>
      <w:tblPr/>
      <w:tcPr>
        <w:tcBorders>
          <w:top w:val="single" w:sz="4" w:space="0" w:color="003299"/>
          <w:left w:val="nil"/>
          <w:bottom w:val="nil"/>
          <w:right w:val="nil"/>
          <w:insideH w:val="nil"/>
          <w:insideV w:val="single" w:sz="4" w:space="0" w:color="003299"/>
          <w:tl2br w:val="nil"/>
          <w:tr2bl w:val="nil"/>
        </w:tcBorders>
      </w:tcPr>
    </w:tblStylePr>
    <w:tblStylePr w:type="firstCol">
      <w:rPr>
        <w:b/>
        <w:color w:val="FF0000"/>
      </w:rPr>
      <w:tblPr/>
      <w:tcPr>
        <w:tcBorders>
          <w:top w:val="nil"/>
          <w:left w:val="nil"/>
          <w:bottom w:val="nil"/>
          <w:right w:val="single" w:sz="4" w:space="0" w:color="003299"/>
          <w:insideH w:val="nil"/>
          <w:insideV w:val="nil"/>
          <w:tl2br w:val="nil"/>
          <w:tr2bl w:val="nil"/>
        </w:tcBorders>
      </w:tcPr>
    </w:tblStylePr>
    <w:tblStylePr w:type="band1Vert">
      <w:tblPr/>
      <w:tcPr>
        <w:tcBorders>
          <w:top w:val="nil"/>
          <w:left w:val="single" w:sz="4" w:space="0" w:color="003299"/>
          <w:bottom w:val="nil"/>
          <w:right w:val="nil"/>
          <w:insideH w:val="nil"/>
          <w:insideV w:val="nil"/>
          <w:tl2br w:val="nil"/>
          <w:tr2bl w:val="nil"/>
        </w:tcBorders>
      </w:tcPr>
    </w:tblStylePr>
    <w:tblStylePr w:type="band2Vert">
      <w:tblPr/>
      <w:tcPr>
        <w:tcBorders>
          <w:top w:val="nil"/>
          <w:left w:val="single" w:sz="4" w:space="0" w:color="003299"/>
          <w:bottom w:val="nil"/>
          <w:right w:val="nil"/>
          <w:insideH w:val="nil"/>
          <w:insideV w:val="nil"/>
          <w:tl2br w:val="nil"/>
          <w:tr2bl w:val="nil"/>
        </w:tcBorders>
      </w:tcPr>
    </w:tblStylePr>
    <w:tblStylePr w:type="band1Horz">
      <w:tblPr/>
      <w:tcPr>
        <w:shd w:val="clear" w:color="auto" w:fill="F2F2F2" w:themeFill="background1" w:themeFillShade="F2"/>
      </w:tcPr>
    </w:tblStylePr>
  </w:style>
  <w:style w:type="paragraph" w:customStyle="1" w:styleId="Metadatapublication0">
    <w:name w:val="Metadata_publication"/>
    <w:uiPriority w:val="99"/>
    <w:semiHidden/>
    <w:qFormat/>
    <w:rsid w:val="00C23A0A"/>
    <w:pPr>
      <w:spacing w:before="60" w:after="60" w:line="240" w:lineRule="atLeast"/>
    </w:pPr>
    <w:rPr>
      <w:sz w:val="16"/>
      <w:szCs w:val="20"/>
    </w:rPr>
  </w:style>
  <w:style w:type="character" w:customStyle="1" w:styleId="UnresolvedMention1">
    <w:name w:val="Unresolved Mention1"/>
    <w:basedOn w:val="DefaultParagraphFont"/>
    <w:uiPriority w:val="99"/>
    <w:semiHidden/>
    <w:rsid w:val="00C23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10562">
      <w:bodyDiv w:val="1"/>
      <w:marLeft w:val="0"/>
      <w:marRight w:val="0"/>
      <w:marTop w:val="0"/>
      <w:marBottom w:val="0"/>
      <w:divBdr>
        <w:top w:val="none" w:sz="0" w:space="0" w:color="auto"/>
        <w:left w:val="none" w:sz="0" w:space="0" w:color="auto"/>
        <w:bottom w:val="none" w:sz="0" w:space="0" w:color="auto"/>
        <w:right w:val="none" w:sz="0" w:space="0" w:color="auto"/>
      </w:divBdr>
    </w:div>
    <w:div w:id="217480568">
      <w:bodyDiv w:val="1"/>
      <w:marLeft w:val="0"/>
      <w:marRight w:val="0"/>
      <w:marTop w:val="0"/>
      <w:marBottom w:val="0"/>
      <w:divBdr>
        <w:top w:val="none" w:sz="0" w:space="0" w:color="auto"/>
        <w:left w:val="none" w:sz="0" w:space="0" w:color="auto"/>
        <w:bottom w:val="none" w:sz="0" w:space="0" w:color="auto"/>
        <w:right w:val="none" w:sz="0" w:space="0" w:color="auto"/>
      </w:divBdr>
    </w:div>
    <w:div w:id="309329934">
      <w:bodyDiv w:val="1"/>
      <w:marLeft w:val="0"/>
      <w:marRight w:val="0"/>
      <w:marTop w:val="0"/>
      <w:marBottom w:val="0"/>
      <w:divBdr>
        <w:top w:val="none" w:sz="0" w:space="0" w:color="auto"/>
        <w:left w:val="none" w:sz="0" w:space="0" w:color="auto"/>
        <w:bottom w:val="none" w:sz="0" w:space="0" w:color="auto"/>
        <w:right w:val="none" w:sz="0" w:space="0" w:color="auto"/>
      </w:divBdr>
    </w:div>
    <w:div w:id="620307039">
      <w:bodyDiv w:val="1"/>
      <w:marLeft w:val="0"/>
      <w:marRight w:val="0"/>
      <w:marTop w:val="0"/>
      <w:marBottom w:val="0"/>
      <w:divBdr>
        <w:top w:val="none" w:sz="0" w:space="0" w:color="auto"/>
        <w:left w:val="none" w:sz="0" w:space="0" w:color="auto"/>
        <w:bottom w:val="none" w:sz="0" w:space="0" w:color="auto"/>
        <w:right w:val="none" w:sz="0" w:space="0" w:color="auto"/>
      </w:divBdr>
    </w:div>
    <w:div w:id="804470738">
      <w:bodyDiv w:val="1"/>
      <w:marLeft w:val="0"/>
      <w:marRight w:val="0"/>
      <w:marTop w:val="0"/>
      <w:marBottom w:val="0"/>
      <w:divBdr>
        <w:top w:val="none" w:sz="0" w:space="0" w:color="auto"/>
        <w:left w:val="none" w:sz="0" w:space="0" w:color="auto"/>
        <w:bottom w:val="none" w:sz="0" w:space="0" w:color="auto"/>
        <w:right w:val="none" w:sz="0" w:space="0" w:color="auto"/>
      </w:divBdr>
    </w:div>
    <w:div w:id="879782037">
      <w:bodyDiv w:val="1"/>
      <w:marLeft w:val="0"/>
      <w:marRight w:val="0"/>
      <w:marTop w:val="0"/>
      <w:marBottom w:val="0"/>
      <w:divBdr>
        <w:top w:val="none" w:sz="0" w:space="0" w:color="auto"/>
        <w:left w:val="none" w:sz="0" w:space="0" w:color="auto"/>
        <w:bottom w:val="none" w:sz="0" w:space="0" w:color="auto"/>
        <w:right w:val="none" w:sz="0" w:space="0" w:color="auto"/>
      </w:divBdr>
    </w:div>
    <w:div w:id="1043018175">
      <w:bodyDiv w:val="1"/>
      <w:marLeft w:val="0"/>
      <w:marRight w:val="0"/>
      <w:marTop w:val="0"/>
      <w:marBottom w:val="0"/>
      <w:divBdr>
        <w:top w:val="none" w:sz="0" w:space="0" w:color="auto"/>
        <w:left w:val="none" w:sz="0" w:space="0" w:color="auto"/>
        <w:bottom w:val="none" w:sz="0" w:space="0" w:color="auto"/>
        <w:right w:val="none" w:sz="0" w:space="0" w:color="auto"/>
      </w:divBdr>
    </w:div>
    <w:div w:id="1192499592">
      <w:bodyDiv w:val="1"/>
      <w:marLeft w:val="0"/>
      <w:marRight w:val="0"/>
      <w:marTop w:val="0"/>
      <w:marBottom w:val="0"/>
      <w:divBdr>
        <w:top w:val="none" w:sz="0" w:space="0" w:color="auto"/>
        <w:left w:val="none" w:sz="0" w:space="0" w:color="auto"/>
        <w:bottom w:val="none" w:sz="0" w:space="0" w:color="auto"/>
        <w:right w:val="none" w:sz="0" w:space="0" w:color="auto"/>
      </w:divBdr>
    </w:div>
    <w:div w:id="1357000519">
      <w:bodyDiv w:val="1"/>
      <w:marLeft w:val="0"/>
      <w:marRight w:val="0"/>
      <w:marTop w:val="0"/>
      <w:marBottom w:val="0"/>
      <w:divBdr>
        <w:top w:val="none" w:sz="0" w:space="0" w:color="auto"/>
        <w:left w:val="none" w:sz="0" w:space="0" w:color="auto"/>
        <w:bottom w:val="none" w:sz="0" w:space="0" w:color="auto"/>
        <w:right w:val="none" w:sz="0" w:space="0" w:color="auto"/>
      </w:divBdr>
    </w:div>
    <w:div w:id="1481728733">
      <w:bodyDiv w:val="1"/>
      <w:marLeft w:val="0"/>
      <w:marRight w:val="0"/>
      <w:marTop w:val="0"/>
      <w:marBottom w:val="0"/>
      <w:divBdr>
        <w:top w:val="none" w:sz="0" w:space="0" w:color="auto"/>
        <w:left w:val="none" w:sz="0" w:space="0" w:color="auto"/>
        <w:bottom w:val="none" w:sz="0" w:space="0" w:color="auto"/>
        <w:right w:val="none" w:sz="0" w:space="0" w:color="auto"/>
      </w:divBdr>
    </w:div>
    <w:div w:id="1614701999">
      <w:bodyDiv w:val="1"/>
      <w:marLeft w:val="0"/>
      <w:marRight w:val="0"/>
      <w:marTop w:val="0"/>
      <w:marBottom w:val="0"/>
      <w:divBdr>
        <w:top w:val="none" w:sz="0" w:space="0" w:color="auto"/>
        <w:left w:val="none" w:sz="0" w:space="0" w:color="auto"/>
        <w:bottom w:val="none" w:sz="0" w:space="0" w:color="auto"/>
        <w:right w:val="none" w:sz="0" w:space="0" w:color="auto"/>
      </w:divBdr>
    </w:div>
    <w:div w:id="1759715398">
      <w:bodyDiv w:val="1"/>
      <w:marLeft w:val="0"/>
      <w:marRight w:val="0"/>
      <w:marTop w:val="0"/>
      <w:marBottom w:val="0"/>
      <w:divBdr>
        <w:top w:val="none" w:sz="0" w:space="0" w:color="auto"/>
        <w:left w:val="none" w:sz="0" w:space="0" w:color="auto"/>
        <w:bottom w:val="none" w:sz="0" w:space="0" w:color="auto"/>
        <w:right w:val="none" w:sz="0" w:space="0" w:color="auto"/>
      </w:divBdr>
    </w:div>
    <w:div w:id="1872953678">
      <w:bodyDiv w:val="1"/>
      <w:marLeft w:val="0"/>
      <w:marRight w:val="0"/>
      <w:marTop w:val="0"/>
      <w:marBottom w:val="0"/>
      <w:divBdr>
        <w:top w:val="none" w:sz="0" w:space="0" w:color="auto"/>
        <w:left w:val="none" w:sz="0" w:space="0" w:color="auto"/>
        <w:bottom w:val="none" w:sz="0" w:space="0" w:color="auto"/>
        <w:right w:val="none" w:sz="0" w:space="0" w:color="auto"/>
      </w:divBdr>
    </w:div>
    <w:div w:id="1879513824">
      <w:bodyDiv w:val="1"/>
      <w:marLeft w:val="0"/>
      <w:marRight w:val="0"/>
      <w:marTop w:val="0"/>
      <w:marBottom w:val="0"/>
      <w:divBdr>
        <w:top w:val="none" w:sz="0" w:space="0" w:color="auto"/>
        <w:left w:val="none" w:sz="0" w:space="0" w:color="auto"/>
        <w:bottom w:val="none" w:sz="0" w:space="0" w:color="auto"/>
        <w:right w:val="none" w:sz="0" w:space="0" w:color="auto"/>
      </w:divBdr>
      <w:divsChild>
        <w:div w:id="157230710">
          <w:marLeft w:val="274"/>
          <w:marRight w:val="0"/>
          <w:marTop w:val="0"/>
          <w:marBottom w:val="0"/>
          <w:divBdr>
            <w:top w:val="none" w:sz="0" w:space="0" w:color="auto"/>
            <w:left w:val="none" w:sz="0" w:space="0" w:color="auto"/>
            <w:bottom w:val="none" w:sz="0" w:space="0" w:color="auto"/>
            <w:right w:val="none" w:sz="0" w:space="0" w:color="auto"/>
          </w:divBdr>
        </w:div>
        <w:div w:id="1084687186">
          <w:marLeft w:val="274"/>
          <w:marRight w:val="0"/>
          <w:marTop w:val="0"/>
          <w:marBottom w:val="0"/>
          <w:divBdr>
            <w:top w:val="none" w:sz="0" w:space="0" w:color="auto"/>
            <w:left w:val="none" w:sz="0" w:space="0" w:color="auto"/>
            <w:bottom w:val="none" w:sz="0" w:space="0" w:color="auto"/>
            <w:right w:val="none" w:sz="0" w:space="0" w:color="auto"/>
          </w:divBdr>
        </w:div>
        <w:div w:id="324403219">
          <w:marLeft w:val="274"/>
          <w:marRight w:val="0"/>
          <w:marTop w:val="0"/>
          <w:marBottom w:val="0"/>
          <w:divBdr>
            <w:top w:val="none" w:sz="0" w:space="0" w:color="auto"/>
            <w:left w:val="none" w:sz="0" w:space="0" w:color="auto"/>
            <w:bottom w:val="none" w:sz="0" w:space="0" w:color="auto"/>
            <w:right w:val="none" w:sz="0" w:space="0" w:color="auto"/>
          </w:divBdr>
        </w:div>
        <w:div w:id="765080795">
          <w:marLeft w:val="274"/>
          <w:marRight w:val="0"/>
          <w:marTop w:val="0"/>
          <w:marBottom w:val="0"/>
          <w:divBdr>
            <w:top w:val="none" w:sz="0" w:space="0" w:color="auto"/>
            <w:left w:val="none" w:sz="0" w:space="0" w:color="auto"/>
            <w:bottom w:val="none" w:sz="0" w:space="0" w:color="auto"/>
            <w:right w:val="none" w:sz="0" w:space="0" w:color="auto"/>
          </w:divBdr>
        </w:div>
      </w:divsChild>
    </w:div>
    <w:div w:id="1880163672">
      <w:bodyDiv w:val="1"/>
      <w:marLeft w:val="0"/>
      <w:marRight w:val="0"/>
      <w:marTop w:val="0"/>
      <w:marBottom w:val="0"/>
      <w:divBdr>
        <w:top w:val="none" w:sz="0" w:space="0" w:color="auto"/>
        <w:left w:val="none" w:sz="0" w:space="0" w:color="auto"/>
        <w:bottom w:val="none" w:sz="0" w:space="0" w:color="auto"/>
        <w:right w:val="none" w:sz="0" w:space="0" w:color="auto"/>
      </w:divBdr>
    </w:div>
    <w:div w:id="1936669759">
      <w:bodyDiv w:val="1"/>
      <w:marLeft w:val="0"/>
      <w:marRight w:val="0"/>
      <w:marTop w:val="0"/>
      <w:marBottom w:val="0"/>
      <w:divBdr>
        <w:top w:val="none" w:sz="0" w:space="0" w:color="auto"/>
        <w:left w:val="none" w:sz="0" w:space="0" w:color="auto"/>
        <w:bottom w:val="none" w:sz="0" w:space="0" w:color="auto"/>
        <w:right w:val="none" w:sz="0" w:space="0" w:color="auto"/>
      </w:divBdr>
    </w:div>
    <w:div w:id="194977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eader" Target="header10.xml"/><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data.ecb.europa.eu/data/datasets/MPD?dataset%5B0%5D=Macroeconomic%20Projection%20Database%20%28MPD%29&amp;filterSequence=dataset&amp;advFilterDataset%5B0%5D=Macroeconomic%20Projection%20Database%20%28MPD%29&amp;resetAllFilters=true&amp;sort=t_ecb_last_update"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eader" Target="header8.xml"/><Relationship Id="rId66"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header" Target="header7.xml"/><Relationship Id="rId61" Type="http://schemas.openxmlformats.org/officeDocument/2006/relationships/hyperlink" Target="http://www.ecb.europa.eu" TargetMode="Externa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eader" Target="header9.xm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1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hyperlink" Target="https://data.ecb.europa.eu/data/datasets/MPD?dataset%5B0%5D=Macroeconomic%20Projection%20Database%20%28MPD%29&amp;filterSequence=dataset&amp;advFilterDataset%5B0%5D=Macroeconomic%20Projection%20Database%20%28MPD%29&amp;resetAllFilters=true&amp;sort=t_ecb_last_update"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s://www.ecb.europa.eu/home/glossary/html/index.en.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notes.xml.rels><?xml version="1.0" encoding="UTF-8" standalone="yes"?>
<Relationships xmlns="http://schemas.openxmlformats.org/package/2006/relationships"><Relationship Id="rId3" Type="http://schemas.openxmlformats.org/officeDocument/2006/relationships/hyperlink" Target="https://www.ecb.europa.eu/press/projections/html/ecb.projections202512_eurosystemstaff~12ead61977.en.html" TargetMode="External"/><Relationship Id="rId2" Type="http://schemas.openxmlformats.org/officeDocument/2006/relationships/hyperlink" Target="https://www.ecb.europa.eu/press/projections/html/ecb.projections202512_eurosystemstaff~12ead61977.en.html" TargetMode="External"/><Relationship Id="rId1" Type="http://schemas.openxmlformats.org/officeDocument/2006/relationships/hyperlink" Target="https://www.cso.ie/en/interactivezone/statisticsexplained/nationalaccountsexplained/totaldomesticdemandandmodifiedtotaldomesticdeman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ECB%20Templates\Publications_standard%20report%20ECB%20SS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5C304B510447A6A965F9617259582E"/>
        <w:category>
          <w:name w:val="General"/>
          <w:gallery w:val="placeholder"/>
        </w:category>
        <w:types>
          <w:type w:val="bbPlcHdr"/>
        </w:types>
        <w:behaviors>
          <w:behavior w:val="content"/>
        </w:behaviors>
        <w:guid w:val="{4DA833E8-82B5-46EA-945A-08AD30DAFD4F}"/>
      </w:docPartPr>
      <w:docPartBody>
        <w:p w:rsidR="00BE0CE9" w:rsidRDefault="00853259">
          <w:pPr>
            <w:pStyle w:val="855C304B510447A6A965F9617259582E"/>
          </w:pPr>
          <w:r w:rsidRPr="008505D4">
            <w:rPr>
              <w:rStyle w:val="PlaceholderText"/>
            </w:rPr>
            <w:t>Click here to enter a date.</w:t>
          </w:r>
        </w:p>
      </w:docPartBody>
    </w:docPart>
    <w:docPart>
      <w:docPartPr>
        <w:name w:val="3BD550C42D2D4462854672BAACE1DBA2"/>
        <w:category>
          <w:name w:val="General"/>
          <w:gallery w:val="placeholder"/>
        </w:category>
        <w:types>
          <w:type w:val="bbPlcHdr"/>
        </w:types>
        <w:behaviors>
          <w:behavior w:val="content"/>
        </w:behaviors>
        <w:guid w:val="{A078912F-7167-4EE2-B0B1-465CB795E1EE}"/>
      </w:docPartPr>
      <w:docPartBody>
        <w:p w:rsidR="007548F4" w:rsidRDefault="003F61FA" w:rsidP="003F61FA">
          <w:pPr>
            <w:pStyle w:val="3BD550C42D2D4462854672BAACE1DBA2"/>
          </w:pPr>
          <w:r w:rsidRPr="009E1B6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ndnya">
    <w:panose1 w:val="00000400000000000000"/>
    <w:charset w:val="01"/>
    <w:family w:val="roman"/>
    <w:notTrueType/>
    <w:pitch w:val="variable"/>
  </w:font>
  <w:font w:name="Arial Bold">
    <w:altName w:val="Arial"/>
    <w:panose1 w:val="020B0704020202020204"/>
    <w:charset w:val="00"/>
    <w:family w:val="auto"/>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961"/>
    <w:rsid w:val="000014B5"/>
    <w:rsid w:val="00004E1F"/>
    <w:rsid w:val="00010604"/>
    <w:rsid w:val="0001127C"/>
    <w:rsid w:val="00013D91"/>
    <w:rsid w:val="000143F6"/>
    <w:rsid w:val="00015E50"/>
    <w:rsid w:val="0001745E"/>
    <w:rsid w:val="00022141"/>
    <w:rsid w:val="00022F77"/>
    <w:rsid w:val="00032381"/>
    <w:rsid w:val="000327C0"/>
    <w:rsid w:val="00032C16"/>
    <w:rsid w:val="00033CB7"/>
    <w:rsid w:val="000508D0"/>
    <w:rsid w:val="00051A6B"/>
    <w:rsid w:val="00052CA2"/>
    <w:rsid w:val="00063D1D"/>
    <w:rsid w:val="0006401D"/>
    <w:rsid w:val="000706A6"/>
    <w:rsid w:val="0007097C"/>
    <w:rsid w:val="000714F2"/>
    <w:rsid w:val="00072A2C"/>
    <w:rsid w:val="000771F0"/>
    <w:rsid w:val="00080C73"/>
    <w:rsid w:val="0008242C"/>
    <w:rsid w:val="00085BF7"/>
    <w:rsid w:val="0009064B"/>
    <w:rsid w:val="000947B6"/>
    <w:rsid w:val="00097B5C"/>
    <w:rsid w:val="000A1279"/>
    <w:rsid w:val="000A72A0"/>
    <w:rsid w:val="000B050B"/>
    <w:rsid w:val="000B0607"/>
    <w:rsid w:val="000B1365"/>
    <w:rsid w:val="000B4859"/>
    <w:rsid w:val="000C2B05"/>
    <w:rsid w:val="000C3AE1"/>
    <w:rsid w:val="000C7221"/>
    <w:rsid w:val="000D14EF"/>
    <w:rsid w:val="000D7830"/>
    <w:rsid w:val="000E0843"/>
    <w:rsid w:val="000E29C9"/>
    <w:rsid w:val="000E5395"/>
    <w:rsid w:val="000E6C90"/>
    <w:rsid w:val="000E7BC5"/>
    <w:rsid w:val="000F1401"/>
    <w:rsid w:val="000F3700"/>
    <w:rsid w:val="000F48D9"/>
    <w:rsid w:val="000F6156"/>
    <w:rsid w:val="0010243B"/>
    <w:rsid w:val="00105A45"/>
    <w:rsid w:val="00107871"/>
    <w:rsid w:val="00110B01"/>
    <w:rsid w:val="00111C86"/>
    <w:rsid w:val="0011378E"/>
    <w:rsid w:val="00114B46"/>
    <w:rsid w:val="00121906"/>
    <w:rsid w:val="00123B73"/>
    <w:rsid w:val="00123F7B"/>
    <w:rsid w:val="001249EA"/>
    <w:rsid w:val="001257A8"/>
    <w:rsid w:val="00126B47"/>
    <w:rsid w:val="00131A67"/>
    <w:rsid w:val="00135125"/>
    <w:rsid w:val="0013558E"/>
    <w:rsid w:val="001357DE"/>
    <w:rsid w:val="00135FD2"/>
    <w:rsid w:val="00136CCD"/>
    <w:rsid w:val="0014236B"/>
    <w:rsid w:val="00142540"/>
    <w:rsid w:val="00143436"/>
    <w:rsid w:val="00145B97"/>
    <w:rsid w:val="00146387"/>
    <w:rsid w:val="0015262E"/>
    <w:rsid w:val="001570F8"/>
    <w:rsid w:val="001607DE"/>
    <w:rsid w:val="00160B64"/>
    <w:rsid w:val="00161ED0"/>
    <w:rsid w:val="00172257"/>
    <w:rsid w:val="00172F71"/>
    <w:rsid w:val="00173316"/>
    <w:rsid w:val="00176106"/>
    <w:rsid w:val="00177BE3"/>
    <w:rsid w:val="00183894"/>
    <w:rsid w:val="0018638D"/>
    <w:rsid w:val="001A1D40"/>
    <w:rsid w:val="001A21A0"/>
    <w:rsid w:val="001A3C87"/>
    <w:rsid w:val="001A4A97"/>
    <w:rsid w:val="001B4847"/>
    <w:rsid w:val="001C4DBA"/>
    <w:rsid w:val="001C53F8"/>
    <w:rsid w:val="001C54E6"/>
    <w:rsid w:val="001C5AA5"/>
    <w:rsid w:val="001C6338"/>
    <w:rsid w:val="001C6847"/>
    <w:rsid w:val="001C6DED"/>
    <w:rsid w:val="001D15DD"/>
    <w:rsid w:val="001D25BD"/>
    <w:rsid w:val="001D3C16"/>
    <w:rsid w:val="001D459C"/>
    <w:rsid w:val="001E3D26"/>
    <w:rsid w:val="001E6A23"/>
    <w:rsid w:val="001E6C17"/>
    <w:rsid w:val="001F39A8"/>
    <w:rsid w:val="00201FDC"/>
    <w:rsid w:val="00203542"/>
    <w:rsid w:val="002107F5"/>
    <w:rsid w:val="00211C92"/>
    <w:rsid w:val="00213065"/>
    <w:rsid w:val="0021631B"/>
    <w:rsid w:val="0022041F"/>
    <w:rsid w:val="002225B4"/>
    <w:rsid w:val="00223392"/>
    <w:rsid w:val="00226DF8"/>
    <w:rsid w:val="002316A2"/>
    <w:rsid w:val="002445E7"/>
    <w:rsid w:val="002446B1"/>
    <w:rsid w:val="002510FA"/>
    <w:rsid w:val="0025370E"/>
    <w:rsid w:val="00255CCA"/>
    <w:rsid w:val="00267E74"/>
    <w:rsid w:val="00270CED"/>
    <w:rsid w:val="002716EF"/>
    <w:rsid w:val="0027337C"/>
    <w:rsid w:val="00275160"/>
    <w:rsid w:val="0027711D"/>
    <w:rsid w:val="0028370E"/>
    <w:rsid w:val="00285F10"/>
    <w:rsid w:val="00287297"/>
    <w:rsid w:val="00293A53"/>
    <w:rsid w:val="00295D3F"/>
    <w:rsid w:val="00296E77"/>
    <w:rsid w:val="00297EF5"/>
    <w:rsid w:val="002A2A58"/>
    <w:rsid w:val="002A7386"/>
    <w:rsid w:val="002B3DD0"/>
    <w:rsid w:val="002B4028"/>
    <w:rsid w:val="002B4060"/>
    <w:rsid w:val="002B6029"/>
    <w:rsid w:val="002B6117"/>
    <w:rsid w:val="002B6D03"/>
    <w:rsid w:val="002C0160"/>
    <w:rsid w:val="002C0284"/>
    <w:rsid w:val="002C2606"/>
    <w:rsid w:val="002C3E34"/>
    <w:rsid w:val="002C4A4C"/>
    <w:rsid w:val="002C63C9"/>
    <w:rsid w:val="002C6A27"/>
    <w:rsid w:val="002D34CC"/>
    <w:rsid w:val="002D4774"/>
    <w:rsid w:val="002D4C49"/>
    <w:rsid w:val="002E0407"/>
    <w:rsid w:val="002E101E"/>
    <w:rsid w:val="002E18DE"/>
    <w:rsid w:val="002F21BD"/>
    <w:rsid w:val="002F555B"/>
    <w:rsid w:val="00300322"/>
    <w:rsid w:val="0030045D"/>
    <w:rsid w:val="00302115"/>
    <w:rsid w:val="00303792"/>
    <w:rsid w:val="0030702C"/>
    <w:rsid w:val="00310DED"/>
    <w:rsid w:val="0031655D"/>
    <w:rsid w:val="0032016A"/>
    <w:rsid w:val="00321547"/>
    <w:rsid w:val="00327FB1"/>
    <w:rsid w:val="00330543"/>
    <w:rsid w:val="00330F15"/>
    <w:rsid w:val="00331328"/>
    <w:rsid w:val="00334E4B"/>
    <w:rsid w:val="0033720D"/>
    <w:rsid w:val="0033785C"/>
    <w:rsid w:val="00337B9B"/>
    <w:rsid w:val="00345687"/>
    <w:rsid w:val="003533E2"/>
    <w:rsid w:val="003542A7"/>
    <w:rsid w:val="003569C6"/>
    <w:rsid w:val="00364E78"/>
    <w:rsid w:val="003701A6"/>
    <w:rsid w:val="00377607"/>
    <w:rsid w:val="0038034C"/>
    <w:rsid w:val="00384161"/>
    <w:rsid w:val="00390066"/>
    <w:rsid w:val="00397925"/>
    <w:rsid w:val="003A006D"/>
    <w:rsid w:val="003A07D2"/>
    <w:rsid w:val="003A44F5"/>
    <w:rsid w:val="003A4EDB"/>
    <w:rsid w:val="003A6195"/>
    <w:rsid w:val="003A746C"/>
    <w:rsid w:val="003B23AA"/>
    <w:rsid w:val="003B2AD5"/>
    <w:rsid w:val="003B4206"/>
    <w:rsid w:val="003C3AB4"/>
    <w:rsid w:val="003C4BD7"/>
    <w:rsid w:val="003D2135"/>
    <w:rsid w:val="003D2B15"/>
    <w:rsid w:val="003D34A3"/>
    <w:rsid w:val="003D6ED3"/>
    <w:rsid w:val="003E1719"/>
    <w:rsid w:val="003E2D99"/>
    <w:rsid w:val="003E4501"/>
    <w:rsid w:val="003E7223"/>
    <w:rsid w:val="003F1128"/>
    <w:rsid w:val="003F61FA"/>
    <w:rsid w:val="00404B41"/>
    <w:rsid w:val="004077B7"/>
    <w:rsid w:val="00412B06"/>
    <w:rsid w:val="004137AA"/>
    <w:rsid w:val="00414794"/>
    <w:rsid w:val="004149BE"/>
    <w:rsid w:val="00417098"/>
    <w:rsid w:val="00427D2C"/>
    <w:rsid w:val="00430115"/>
    <w:rsid w:val="004352B6"/>
    <w:rsid w:val="00441F7C"/>
    <w:rsid w:val="00444D6E"/>
    <w:rsid w:val="004503A7"/>
    <w:rsid w:val="0045056A"/>
    <w:rsid w:val="00452847"/>
    <w:rsid w:val="0046440E"/>
    <w:rsid w:val="004645A4"/>
    <w:rsid w:val="00473099"/>
    <w:rsid w:val="004747C2"/>
    <w:rsid w:val="00480881"/>
    <w:rsid w:val="004824A8"/>
    <w:rsid w:val="00483690"/>
    <w:rsid w:val="004859D9"/>
    <w:rsid w:val="0048666D"/>
    <w:rsid w:val="00486CD9"/>
    <w:rsid w:val="004906C0"/>
    <w:rsid w:val="00497C63"/>
    <w:rsid w:val="004A3E2C"/>
    <w:rsid w:val="004A67BC"/>
    <w:rsid w:val="004B4573"/>
    <w:rsid w:val="004C3936"/>
    <w:rsid w:val="004D0635"/>
    <w:rsid w:val="004D1867"/>
    <w:rsid w:val="004D4FA1"/>
    <w:rsid w:val="004D67C4"/>
    <w:rsid w:val="004E2BAE"/>
    <w:rsid w:val="004E4851"/>
    <w:rsid w:val="004E624E"/>
    <w:rsid w:val="004F225C"/>
    <w:rsid w:val="004F4F05"/>
    <w:rsid w:val="004F6028"/>
    <w:rsid w:val="00500380"/>
    <w:rsid w:val="00504C3A"/>
    <w:rsid w:val="00520B43"/>
    <w:rsid w:val="00521122"/>
    <w:rsid w:val="00521149"/>
    <w:rsid w:val="00522157"/>
    <w:rsid w:val="0052305D"/>
    <w:rsid w:val="00530A9F"/>
    <w:rsid w:val="00531596"/>
    <w:rsid w:val="0053488D"/>
    <w:rsid w:val="00535122"/>
    <w:rsid w:val="0053659A"/>
    <w:rsid w:val="00540142"/>
    <w:rsid w:val="00541ED5"/>
    <w:rsid w:val="00542CC9"/>
    <w:rsid w:val="00542F9F"/>
    <w:rsid w:val="005438FB"/>
    <w:rsid w:val="00543BC0"/>
    <w:rsid w:val="0054466F"/>
    <w:rsid w:val="005466CD"/>
    <w:rsid w:val="00560896"/>
    <w:rsid w:val="00560A12"/>
    <w:rsid w:val="005702E9"/>
    <w:rsid w:val="00571FFA"/>
    <w:rsid w:val="00575EE8"/>
    <w:rsid w:val="0057779C"/>
    <w:rsid w:val="00580572"/>
    <w:rsid w:val="00580E20"/>
    <w:rsid w:val="00583D29"/>
    <w:rsid w:val="0058696D"/>
    <w:rsid w:val="00590246"/>
    <w:rsid w:val="00590F97"/>
    <w:rsid w:val="00591965"/>
    <w:rsid w:val="005935E6"/>
    <w:rsid w:val="0059683E"/>
    <w:rsid w:val="005A035E"/>
    <w:rsid w:val="005A0367"/>
    <w:rsid w:val="005A5643"/>
    <w:rsid w:val="005B0A0D"/>
    <w:rsid w:val="005B4143"/>
    <w:rsid w:val="005C0463"/>
    <w:rsid w:val="005C122C"/>
    <w:rsid w:val="005C42E3"/>
    <w:rsid w:val="005C4AA8"/>
    <w:rsid w:val="005C7344"/>
    <w:rsid w:val="005D0DA1"/>
    <w:rsid w:val="005D15A1"/>
    <w:rsid w:val="005D5645"/>
    <w:rsid w:val="005D5943"/>
    <w:rsid w:val="005E0058"/>
    <w:rsid w:val="005E152F"/>
    <w:rsid w:val="005E3CC8"/>
    <w:rsid w:val="005E64B3"/>
    <w:rsid w:val="005F3731"/>
    <w:rsid w:val="005F75D7"/>
    <w:rsid w:val="0060721A"/>
    <w:rsid w:val="00607D2E"/>
    <w:rsid w:val="0062106C"/>
    <w:rsid w:val="006317D5"/>
    <w:rsid w:val="00640C3C"/>
    <w:rsid w:val="00653031"/>
    <w:rsid w:val="00653429"/>
    <w:rsid w:val="00655394"/>
    <w:rsid w:val="00660EEA"/>
    <w:rsid w:val="00663DA1"/>
    <w:rsid w:val="006646DA"/>
    <w:rsid w:val="00674349"/>
    <w:rsid w:val="0067691F"/>
    <w:rsid w:val="00677FC5"/>
    <w:rsid w:val="006806BE"/>
    <w:rsid w:val="00680E8B"/>
    <w:rsid w:val="006818EF"/>
    <w:rsid w:val="00682AED"/>
    <w:rsid w:val="00687503"/>
    <w:rsid w:val="006910AA"/>
    <w:rsid w:val="006937D1"/>
    <w:rsid w:val="00696B72"/>
    <w:rsid w:val="006979C0"/>
    <w:rsid w:val="006A79DC"/>
    <w:rsid w:val="006B17D0"/>
    <w:rsid w:val="006B19DD"/>
    <w:rsid w:val="006B59F4"/>
    <w:rsid w:val="006B778C"/>
    <w:rsid w:val="006C4D76"/>
    <w:rsid w:val="006C4F59"/>
    <w:rsid w:val="006D0776"/>
    <w:rsid w:val="006D1328"/>
    <w:rsid w:val="006D17CE"/>
    <w:rsid w:val="006E0FB5"/>
    <w:rsid w:val="006E2949"/>
    <w:rsid w:val="006E2FE0"/>
    <w:rsid w:val="006E513F"/>
    <w:rsid w:val="006E680A"/>
    <w:rsid w:val="006F4778"/>
    <w:rsid w:val="006F4783"/>
    <w:rsid w:val="00704EA7"/>
    <w:rsid w:val="00705D42"/>
    <w:rsid w:val="007101E5"/>
    <w:rsid w:val="007143BD"/>
    <w:rsid w:val="00720F81"/>
    <w:rsid w:val="007318FD"/>
    <w:rsid w:val="00735785"/>
    <w:rsid w:val="00740594"/>
    <w:rsid w:val="007409AE"/>
    <w:rsid w:val="00740A28"/>
    <w:rsid w:val="00747F31"/>
    <w:rsid w:val="007548F4"/>
    <w:rsid w:val="0075728F"/>
    <w:rsid w:val="00757623"/>
    <w:rsid w:val="00757A51"/>
    <w:rsid w:val="00761B35"/>
    <w:rsid w:val="00763C44"/>
    <w:rsid w:val="00765885"/>
    <w:rsid w:val="0076714D"/>
    <w:rsid w:val="007740CB"/>
    <w:rsid w:val="007750D3"/>
    <w:rsid w:val="0077751F"/>
    <w:rsid w:val="00782088"/>
    <w:rsid w:val="0078487C"/>
    <w:rsid w:val="0078618D"/>
    <w:rsid w:val="00790C12"/>
    <w:rsid w:val="007A1B27"/>
    <w:rsid w:val="007A20AC"/>
    <w:rsid w:val="007B51B8"/>
    <w:rsid w:val="007B7EBD"/>
    <w:rsid w:val="007C429A"/>
    <w:rsid w:val="007D56F8"/>
    <w:rsid w:val="007D5F26"/>
    <w:rsid w:val="007E139E"/>
    <w:rsid w:val="007E3681"/>
    <w:rsid w:val="007E7DCC"/>
    <w:rsid w:val="007F17CB"/>
    <w:rsid w:val="007F4432"/>
    <w:rsid w:val="008009E7"/>
    <w:rsid w:val="00807BE5"/>
    <w:rsid w:val="008103D4"/>
    <w:rsid w:val="008153E1"/>
    <w:rsid w:val="00816A80"/>
    <w:rsid w:val="0082191C"/>
    <w:rsid w:val="00822958"/>
    <w:rsid w:val="00824745"/>
    <w:rsid w:val="00825B45"/>
    <w:rsid w:val="00827758"/>
    <w:rsid w:val="00831879"/>
    <w:rsid w:val="00832E67"/>
    <w:rsid w:val="00833118"/>
    <w:rsid w:val="0084035A"/>
    <w:rsid w:val="00843486"/>
    <w:rsid w:val="00846FC2"/>
    <w:rsid w:val="00847956"/>
    <w:rsid w:val="00853259"/>
    <w:rsid w:val="00853D75"/>
    <w:rsid w:val="00856D6D"/>
    <w:rsid w:val="008646AA"/>
    <w:rsid w:val="00865FC7"/>
    <w:rsid w:val="00866098"/>
    <w:rsid w:val="008675A6"/>
    <w:rsid w:val="0087247F"/>
    <w:rsid w:val="00877E55"/>
    <w:rsid w:val="008853DA"/>
    <w:rsid w:val="00892961"/>
    <w:rsid w:val="008B223A"/>
    <w:rsid w:val="008B764F"/>
    <w:rsid w:val="008C2895"/>
    <w:rsid w:val="008C63E6"/>
    <w:rsid w:val="008C6597"/>
    <w:rsid w:val="008C6B28"/>
    <w:rsid w:val="008D198A"/>
    <w:rsid w:val="008D1C2E"/>
    <w:rsid w:val="008D45FF"/>
    <w:rsid w:val="008D53DA"/>
    <w:rsid w:val="008D662F"/>
    <w:rsid w:val="008D7BBB"/>
    <w:rsid w:val="008E0983"/>
    <w:rsid w:val="008E0EF0"/>
    <w:rsid w:val="008E3815"/>
    <w:rsid w:val="008E3DE2"/>
    <w:rsid w:val="008E4878"/>
    <w:rsid w:val="008E6803"/>
    <w:rsid w:val="008E6E7F"/>
    <w:rsid w:val="008E7C6F"/>
    <w:rsid w:val="008F064E"/>
    <w:rsid w:val="008F141F"/>
    <w:rsid w:val="008F4178"/>
    <w:rsid w:val="008F508D"/>
    <w:rsid w:val="008F6A2F"/>
    <w:rsid w:val="00911035"/>
    <w:rsid w:val="00912D32"/>
    <w:rsid w:val="0092199C"/>
    <w:rsid w:val="0093098B"/>
    <w:rsid w:val="00945338"/>
    <w:rsid w:val="00945ED1"/>
    <w:rsid w:val="009543EE"/>
    <w:rsid w:val="00956CD7"/>
    <w:rsid w:val="00965C43"/>
    <w:rsid w:val="009705BB"/>
    <w:rsid w:val="00975817"/>
    <w:rsid w:val="00975B2B"/>
    <w:rsid w:val="0097759A"/>
    <w:rsid w:val="009839C0"/>
    <w:rsid w:val="0098411A"/>
    <w:rsid w:val="00986CA1"/>
    <w:rsid w:val="00987B9B"/>
    <w:rsid w:val="009A3264"/>
    <w:rsid w:val="009A3D09"/>
    <w:rsid w:val="009A53C6"/>
    <w:rsid w:val="009B0D19"/>
    <w:rsid w:val="009B33C5"/>
    <w:rsid w:val="009B44D7"/>
    <w:rsid w:val="009B6B3B"/>
    <w:rsid w:val="009C2C07"/>
    <w:rsid w:val="009C323D"/>
    <w:rsid w:val="009C496B"/>
    <w:rsid w:val="009C4D4B"/>
    <w:rsid w:val="009C6091"/>
    <w:rsid w:val="009D196D"/>
    <w:rsid w:val="009D2EA7"/>
    <w:rsid w:val="009D3B7D"/>
    <w:rsid w:val="009D656B"/>
    <w:rsid w:val="009E4177"/>
    <w:rsid w:val="009F4BC9"/>
    <w:rsid w:val="009F65A0"/>
    <w:rsid w:val="00A11F4E"/>
    <w:rsid w:val="00A1524C"/>
    <w:rsid w:val="00A268ED"/>
    <w:rsid w:val="00A305B2"/>
    <w:rsid w:val="00A33682"/>
    <w:rsid w:val="00A359AB"/>
    <w:rsid w:val="00A53807"/>
    <w:rsid w:val="00A61B63"/>
    <w:rsid w:val="00A61D4E"/>
    <w:rsid w:val="00A626B0"/>
    <w:rsid w:val="00A719FD"/>
    <w:rsid w:val="00A750D5"/>
    <w:rsid w:val="00A82801"/>
    <w:rsid w:val="00A8402E"/>
    <w:rsid w:val="00A850CD"/>
    <w:rsid w:val="00A931A6"/>
    <w:rsid w:val="00A96ABA"/>
    <w:rsid w:val="00AA1557"/>
    <w:rsid w:val="00AA2291"/>
    <w:rsid w:val="00AA59E6"/>
    <w:rsid w:val="00AA7874"/>
    <w:rsid w:val="00AB091F"/>
    <w:rsid w:val="00AB16FE"/>
    <w:rsid w:val="00AB17D0"/>
    <w:rsid w:val="00AB243E"/>
    <w:rsid w:val="00AB264D"/>
    <w:rsid w:val="00AB50DD"/>
    <w:rsid w:val="00AB7A92"/>
    <w:rsid w:val="00AC1204"/>
    <w:rsid w:val="00AC1F7F"/>
    <w:rsid w:val="00AD0E08"/>
    <w:rsid w:val="00AD3531"/>
    <w:rsid w:val="00AD6F14"/>
    <w:rsid w:val="00AE51F0"/>
    <w:rsid w:val="00AF026E"/>
    <w:rsid w:val="00B0025D"/>
    <w:rsid w:val="00B0646C"/>
    <w:rsid w:val="00B11661"/>
    <w:rsid w:val="00B12335"/>
    <w:rsid w:val="00B25422"/>
    <w:rsid w:val="00B26176"/>
    <w:rsid w:val="00B27F76"/>
    <w:rsid w:val="00B31075"/>
    <w:rsid w:val="00B3392D"/>
    <w:rsid w:val="00B36B9D"/>
    <w:rsid w:val="00B444DE"/>
    <w:rsid w:val="00B448BF"/>
    <w:rsid w:val="00B47983"/>
    <w:rsid w:val="00B47D51"/>
    <w:rsid w:val="00B55471"/>
    <w:rsid w:val="00B638F6"/>
    <w:rsid w:val="00B655D6"/>
    <w:rsid w:val="00B66254"/>
    <w:rsid w:val="00B662C3"/>
    <w:rsid w:val="00B71F20"/>
    <w:rsid w:val="00B7289F"/>
    <w:rsid w:val="00B7419D"/>
    <w:rsid w:val="00B75005"/>
    <w:rsid w:val="00B803C1"/>
    <w:rsid w:val="00B934F4"/>
    <w:rsid w:val="00B93C53"/>
    <w:rsid w:val="00B95F53"/>
    <w:rsid w:val="00B96FA4"/>
    <w:rsid w:val="00BA1A84"/>
    <w:rsid w:val="00BA1BD0"/>
    <w:rsid w:val="00BA33C2"/>
    <w:rsid w:val="00BA3E63"/>
    <w:rsid w:val="00BA4434"/>
    <w:rsid w:val="00BA6911"/>
    <w:rsid w:val="00BB05DD"/>
    <w:rsid w:val="00BB05E7"/>
    <w:rsid w:val="00BB48A7"/>
    <w:rsid w:val="00BB517C"/>
    <w:rsid w:val="00BB6CBA"/>
    <w:rsid w:val="00BB74D4"/>
    <w:rsid w:val="00BC705C"/>
    <w:rsid w:val="00BE004C"/>
    <w:rsid w:val="00BE0CE9"/>
    <w:rsid w:val="00BE52F6"/>
    <w:rsid w:val="00BE59DF"/>
    <w:rsid w:val="00BF19FE"/>
    <w:rsid w:val="00BF3F4D"/>
    <w:rsid w:val="00BF6515"/>
    <w:rsid w:val="00BF77B2"/>
    <w:rsid w:val="00C011ED"/>
    <w:rsid w:val="00C027EA"/>
    <w:rsid w:val="00C03C5B"/>
    <w:rsid w:val="00C06ACB"/>
    <w:rsid w:val="00C1162C"/>
    <w:rsid w:val="00C12553"/>
    <w:rsid w:val="00C14010"/>
    <w:rsid w:val="00C15E4A"/>
    <w:rsid w:val="00C1751D"/>
    <w:rsid w:val="00C20E8C"/>
    <w:rsid w:val="00C22AC2"/>
    <w:rsid w:val="00C27602"/>
    <w:rsid w:val="00C30B52"/>
    <w:rsid w:val="00C330DF"/>
    <w:rsid w:val="00C33DC0"/>
    <w:rsid w:val="00C3633F"/>
    <w:rsid w:val="00C45333"/>
    <w:rsid w:val="00C46780"/>
    <w:rsid w:val="00C47040"/>
    <w:rsid w:val="00C507D4"/>
    <w:rsid w:val="00C50FE6"/>
    <w:rsid w:val="00C517A7"/>
    <w:rsid w:val="00C518C6"/>
    <w:rsid w:val="00C52255"/>
    <w:rsid w:val="00C5473B"/>
    <w:rsid w:val="00C6199A"/>
    <w:rsid w:val="00C6287D"/>
    <w:rsid w:val="00C739C2"/>
    <w:rsid w:val="00C73ACD"/>
    <w:rsid w:val="00C73DF0"/>
    <w:rsid w:val="00C7447A"/>
    <w:rsid w:val="00C83095"/>
    <w:rsid w:val="00C84545"/>
    <w:rsid w:val="00C86B7E"/>
    <w:rsid w:val="00C87F55"/>
    <w:rsid w:val="00C95975"/>
    <w:rsid w:val="00CA1358"/>
    <w:rsid w:val="00CA5068"/>
    <w:rsid w:val="00CA775C"/>
    <w:rsid w:val="00CB01AD"/>
    <w:rsid w:val="00CB316E"/>
    <w:rsid w:val="00CB3A3D"/>
    <w:rsid w:val="00CB3CAD"/>
    <w:rsid w:val="00CB5DE4"/>
    <w:rsid w:val="00CC0DFE"/>
    <w:rsid w:val="00CC0F6A"/>
    <w:rsid w:val="00CC1FAF"/>
    <w:rsid w:val="00CC4015"/>
    <w:rsid w:val="00CC5795"/>
    <w:rsid w:val="00CD02D5"/>
    <w:rsid w:val="00CD488F"/>
    <w:rsid w:val="00CD6B91"/>
    <w:rsid w:val="00CD6DD2"/>
    <w:rsid w:val="00CE744F"/>
    <w:rsid w:val="00CF3CB2"/>
    <w:rsid w:val="00CF6DA1"/>
    <w:rsid w:val="00D002A0"/>
    <w:rsid w:val="00D0105D"/>
    <w:rsid w:val="00D10164"/>
    <w:rsid w:val="00D11B8E"/>
    <w:rsid w:val="00D1230C"/>
    <w:rsid w:val="00D13597"/>
    <w:rsid w:val="00D1770F"/>
    <w:rsid w:val="00D23767"/>
    <w:rsid w:val="00D25096"/>
    <w:rsid w:val="00D264F7"/>
    <w:rsid w:val="00D30EEB"/>
    <w:rsid w:val="00D3653E"/>
    <w:rsid w:val="00D40B92"/>
    <w:rsid w:val="00D46A2E"/>
    <w:rsid w:val="00D47E7C"/>
    <w:rsid w:val="00D508A6"/>
    <w:rsid w:val="00D5345C"/>
    <w:rsid w:val="00D53C7C"/>
    <w:rsid w:val="00D613A4"/>
    <w:rsid w:val="00D62F2D"/>
    <w:rsid w:val="00D639B6"/>
    <w:rsid w:val="00D707C4"/>
    <w:rsid w:val="00D708FF"/>
    <w:rsid w:val="00D71177"/>
    <w:rsid w:val="00D753E8"/>
    <w:rsid w:val="00D7686B"/>
    <w:rsid w:val="00D824A3"/>
    <w:rsid w:val="00D84AE0"/>
    <w:rsid w:val="00D87BD4"/>
    <w:rsid w:val="00D908EB"/>
    <w:rsid w:val="00DA2EB8"/>
    <w:rsid w:val="00DC268A"/>
    <w:rsid w:val="00DC6935"/>
    <w:rsid w:val="00DC7DB8"/>
    <w:rsid w:val="00DD2188"/>
    <w:rsid w:val="00DD38D2"/>
    <w:rsid w:val="00DD40B7"/>
    <w:rsid w:val="00DD6CBC"/>
    <w:rsid w:val="00DD6F79"/>
    <w:rsid w:val="00DE4031"/>
    <w:rsid w:val="00DE4DDE"/>
    <w:rsid w:val="00DE5C17"/>
    <w:rsid w:val="00DF0401"/>
    <w:rsid w:val="00DF3EBA"/>
    <w:rsid w:val="00DF5DC0"/>
    <w:rsid w:val="00E00700"/>
    <w:rsid w:val="00E01D03"/>
    <w:rsid w:val="00E0480E"/>
    <w:rsid w:val="00E15D08"/>
    <w:rsid w:val="00E24812"/>
    <w:rsid w:val="00E25AE6"/>
    <w:rsid w:val="00E26541"/>
    <w:rsid w:val="00E305A6"/>
    <w:rsid w:val="00E32772"/>
    <w:rsid w:val="00E3307B"/>
    <w:rsid w:val="00E34592"/>
    <w:rsid w:val="00E35F34"/>
    <w:rsid w:val="00E42771"/>
    <w:rsid w:val="00E44FBF"/>
    <w:rsid w:val="00E45CBD"/>
    <w:rsid w:val="00E47FD3"/>
    <w:rsid w:val="00E50CB2"/>
    <w:rsid w:val="00E55BC9"/>
    <w:rsid w:val="00E64271"/>
    <w:rsid w:val="00E65520"/>
    <w:rsid w:val="00E66DA9"/>
    <w:rsid w:val="00E7138C"/>
    <w:rsid w:val="00E7558B"/>
    <w:rsid w:val="00E77B45"/>
    <w:rsid w:val="00E82094"/>
    <w:rsid w:val="00E865B2"/>
    <w:rsid w:val="00E87D05"/>
    <w:rsid w:val="00E9201A"/>
    <w:rsid w:val="00E92C3E"/>
    <w:rsid w:val="00E938F2"/>
    <w:rsid w:val="00E96371"/>
    <w:rsid w:val="00EA0987"/>
    <w:rsid w:val="00EA3281"/>
    <w:rsid w:val="00EA418B"/>
    <w:rsid w:val="00EA495C"/>
    <w:rsid w:val="00EA5A8B"/>
    <w:rsid w:val="00EC06E1"/>
    <w:rsid w:val="00EC339B"/>
    <w:rsid w:val="00EC6F59"/>
    <w:rsid w:val="00ED28BB"/>
    <w:rsid w:val="00ED2F24"/>
    <w:rsid w:val="00ED42F6"/>
    <w:rsid w:val="00ED4347"/>
    <w:rsid w:val="00ED4F85"/>
    <w:rsid w:val="00EE086F"/>
    <w:rsid w:val="00EE6A2B"/>
    <w:rsid w:val="00EF0893"/>
    <w:rsid w:val="00EF0C1B"/>
    <w:rsid w:val="00EF238E"/>
    <w:rsid w:val="00EF76A5"/>
    <w:rsid w:val="00F01798"/>
    <w:rsid w:val="00F01E6F"/>
    <w:rsid w:val="00F02D25"/>
    <w:rsid w:val="00F03089"/>
    <w:rsid w:val="00F07A19"/>
    <w:rsid w:val="00F10448"/>
    <w:rsid w:val="00F11223"/>
    <w:rsid w:val="00F13648"/>
    <w:rsid w:val="00F14C31"/>
    <w:rsid w:val="00F158D4"/>
    <w:rsid w:val="00F1724B"/>
    <w:rsid w:val="00F23261"/>
    <w:rsid w:val="00F25CE9"/>
    <w:rsid w:val="00F26CCA"/>
    <w:rsid w:val="00F322BE"/>
    <w:rsid w:val="00F41A17"/>
    <w:rsid w:val="00F42349"/>
    <w:rsid w:val="00F4533E"/>
    <w:rsid w:val="00F60DC5"/>
    <w:rsid w:val="00F650F8"/>
    <w:rsid w:val="00F74509"/>
    <w:rsid w:val="00F74C97"/>
    <w:rsid w:val="00F75EB1"/>
    <w:rsid w:val="00F82624"/>
    <w:rsid w:val="00F87860"/>
    <w:rsid w:val="00F909A0"/>
    <w:rsid w:val="00F92974"/>
    <w:rsid w:val="00FA6AFB"/>
    <w:rsid w:val="00FA7614"/>
    <w:rsid w:val="00FA763B"/>
    <w:rsid w:val="00FB02BE"/>
    <w:rsid w:val="00FB2F78"/>
    <w:rsid w:val="00FB56BA"/>
    <w:rsid w:val="00FB5EAA"/>
    <w:rsid w:val="00FC1C78"/>
    <w:rsid w:val="00FC3D3F"/>
    <w:rsid w:val="00FD0AB3"/>
    <w:rsid w:val="00FD0E75"/>
    <w:rsid w:val="00FD2B6C"/>
    <w:rsid w:val="00FD2D35"/>
    <w:rsid w:val="00FD3662"/>
    <w:rsid w:val="00FD5CA4"/>
    <w:rsid w:val="00FE0EA7"/>
    <w:rsid w:val="00FE161C"/>
    <w:rsid w:val="00FF0D01"/>
    <w:rsid w:val="00FF2117"/>
    <w:rsid w:val="00FF58BC"/>
    <w:rsid w:val="00FF7E0E"/>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t-EE" w:eastAsia="et-E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61FA"/>
    <w:rPr>
      <w:color w:val="808080"/>
    </w:rPr>
  </w:style>
  <w:style w:type="paragraph" w:customStyle="1" w:styleId="855C304B510447A6A965F9617259582E">
    <w:name w:val="855C304B510447A6A965F9617259582E"/>
  </w:style>
  <w:style w:type="paragraph" w:customStyle="1" w:styleId="3BD550C42D2D4462854672BAACE1DBA2">
    <w:name w:val="3BD550C42D2D4462854672BAACE1DBA2"/>
    <w:rsid w:val="003F61FA"/>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Summary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0B7370CF91ED44928AC8490F611189" ma:contentTypeVersion="8" ma:contentTypeDescription="Create a new document." ma:contentTypeScope="" ma:versionID="0c6939e9e865a8e664aafb30f3b7e1ce">
  <xsd:schema xmlns:xsd="http://www.w3.org/2001/XMLSchema" xmlns:xs="http://www.w3.org/2001/XMLSchema" xmlns:p="http://schemas.microsoft.com/office/2006/metadata/properties" xmlns:ns2="3457fb6d-93f8-42d5-a1ed-bcde88ad3c8c" targetNamespace="http://schemas.microsoft.com/office/2006/metadata/properties" ma:root="true" ma:fieldsID="58b1b6a6cac391f7dfd19b20b6aeedbb" ns2:_="">
    <xsd:import namespace="3457fb6d-93f8-42d5-a1ed-bcde88ad3c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7fb6d-93f8-42d5-a1ed-bcde88ad3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F366DC-A586-4304-ADD4-C008F066DCE4}">
  <ds:schemaRefs>
    <ds:schemaRef ds:uri="http://schemas.openxmlformats.org/officeDocument/2006/bibliography"/>
  </ds:schemaRefs>
</ds:datastoreItem>
</file>

<file path=customXml/itemProps3.xml><?xml version="1.0" encoding="utf-8"?>
<ds:datastoreItem xmlns:ds="http://schemas.openxmlformats.org/officeDocument/2006/customXml" ds:itemID="{42C104FE-85A5-47F3-976A-DB3771EBBA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CEC3F4-3C19-4F8F-89F5-729E77C07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7fb6d-93f8-42d5-a1ed-bcde88ad3c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B206BB-EC25-4A58-806D-6E8A1E6A2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Publications_standard report ECB SSM</Template>
  <TotalTime>4</TotalTime>
  <Pages>39</Pages>
  <Words>11853</Words>
  <Characters>67565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ECB staff macroeconomic projections for the euro area, March 2026</vt:lpstr>
    </vt:vector>
  </TitlesOfParts>
  <Company>European Central Bank</Company>
  <LinksUpToDate>false</LinksUpToDate>
  <CharactersWithSpaces>79260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ECB staff macroeconomic projections for the euro area, March 2026</dc:title>
  <dc:creator>European Central Bank</dc:creator>
  <cp:keywords/>
  <cp:lastModifiedBy>Alexandros Manolatos</cp:lastModifiedBy>
  <cp:revision>2</cp:revision>
  <cp:lastPrinted>2026-03-19T06:53:00Z</cp:lastPrinted>
  <dcterms:created xsi:type="dcterms:W3CDTF">2026-03-19T15:22:00Z</dcterms:created>
  <dcterms:modified xsi:type="dcterms:W3CDTF">2026-03-19T15:22:00Z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N (html)">
    <vt:lpwstr>2529-4466</vt:lpwstr>
  </property>
  <property fmtid="{D5CDD505-2E9C-101B-9397-08002B2CF9AE}" pid="3" name="ISSN (pdf)">
    <vt:lpwstr>2529-4466</vt:lpwstr>
  </property>
  <property fmtid="{D5CDD505-2E9C-101B-9397-08002B2CF9AE}" pid="4" name="ISBN (html)">
    <vt:lpwstr>ISBN 978-92-899-7780-7</vt:lpwstr>
  </property>
  <property fmtid="{D5CDD505-2E9C-101B-9397-08002B2CF9AE}" pid="5" name="ISBN (pdf)">
    <vt:lpwstr>ISBN 978-92-899-7781-4</vt:lpwstr>
  </property>
  <property fmtid="{D5CDD505-2E9C-101B-9397-08002B2CF9AE}" pid="6" name="DOI (pdf)">
    <vt:lpwstr>10.2866/8488267</vt:lpwstr>
  </property>
  <property fmtid="{D5CDD505-2E9C-101B-9397-08002B2CF9AE}" pid="7" name="DOI (html)">
    <vt:lpwstr>10.2866/0204813</vt:lpwstr>
  </property>
  <property fmtid="{D5CDD505-2E9C-101B-9397-08002B2CF9AE}" pid="8" name="EU catalogue No (pdf)">
    <vt:lpwstr>QB-01-26-090-EN-N</vt:lpwstr>
  </property>
  <property fmtid="{D5CDD505-2E9C-101B-9397-08002B2CF9AE}" pid="9" name="EU catalogue No (html)">
    <vt:lpwstr>QB-01-26-090-EN-Q</vt:lpwstr>
  </property>
  <property fmtid="{D5CDD505-2E9C-101B-9397-08002B2CF9AE}" pid="10" name="Document Status">
    <vt:lpwstr>DRAFT</vt:lpwstr>
  </property>
  <property fmtid="{D5CDD505-2E9C-101B-9397-08002B2CF9AE}" pid="11" name="Supplemental Marking">
    <vt:lpwstr/>
  </property>
  <property fmtid="{D5CDD505-2E9C-101B-9397-08002B2CF9AE}" pid="12" name="ClassificationContentMarkingHeaderShapeIds">
    <vt:lpwstr>3c,3d,40,42,43,44,233e09c,78a40cc4,2904404c</vt:lpwstr>
  </property>
  <property fmtid="{D5CDD505-2E9C-101B-9397-08002B2CF9AE}" pid="13" name="ClassificationContentMarkingHeaderFontProps">
    <vt:lpwstr>#000000,10,Aptos</vt:lpwstr>
  </property>
  <property fmtid="{D5CDD505-2E9C-101B-9397-08002B2CF9AE}" pid="14" name="ClassificationContentMarkingHeaderText">
    <vt:lpwstr>ECB-SECRET     </vt:lpwstr>
  </property>
  <property fmtid="{D5CDD505-2E9C-101B-9397-08002B2CF9AE}" pid="15" name="ContentTypeId">
    <vt:lpwstr>0x010100DE0B7370CF91ED44928AC8490F611189</vt:lpwstr>
  </property>
  <property fmtid="{D5CDD505-2E9C-101B-9397-08002B2CF9AE}" pid="16" name="MSIP_Label_cd1a1310-5628-4e47-b3bd-f78003312648_Enabled">
    <vt:lpwstr>true</vt:lpwstr>
  </property>
  <property fmtid="{D5CDD505-2E9C-101B-9397-08002B2CF9AE}" pid="17" name="MSIP_Label_cd1a1310-5628-4e47-b3bd-f78003312648_SetDate">
    <vt:lpwstr>2026-03-19T14:25:26Z</vt:lpwstr>
  </property>
  <property fmtid="{D5CDD505-2E9C-101B-9397-08002B2CF9AE}" pid="18" name="MSIP_Label_cd1a1310-5628-4e47-b3bd-f78003312648_Method">
    <vt:lpwstr>Standard</vt:lpwstr>
  </property>
  <property fmtid="{D5CDD505-2E9C-101B-9397-08002B2CF9AE}" pid="19" name="MSIP_Label_cd1a1310-5628-4e47-b3bd-f78003312648_Name">
    <vt:lpwstr>ECB-SECRET</vt:lpwstr>
  </property>
  <property fmtid="{D5CDD505-2E9C-101B-9397-08002B2CF9AE}" pid="20" name="MSIP_Label_cd1a1310-5628-4e47-b3bd-f78003312648_SiteId">
    <vt:lpwstr>b84ee435-4816-49d2-8d92-e740dbda4064</vt:lpwstr>
  </property>
  <property fmtid="{D5CDD505-2E9C-101B-9397-08002B2CF9AE}" pid="21" name="MSIP_Label_cd1a1310-5628-4e47-b3bd-f78003312648_ActionId">
    <vt:lpwstr>b5f25b29-e632-48c9-9753-1762cf6ac610</vt:lpwstr>
  </property>
  <property fmtid="{D5CDD505-2E9C-101B-9397-08002B2CF9AE}" pid="22" name="MSIP_Label_cd1a1310-5628-4e47-b3bd-f78003312648_ContentBits">
    <vt:lpwstr>0</vt:lpwstr>
  </property>
  <property fmtid="{D5CDD505-2E9C-101B-9397-08002B2CF9AE}" pid="23" name="MSIP_Label_2e64f240-1db5-4acf-9bde-572066689a31_Enabled">
    <vt:lpwstr>true</vt:lpwstr>
  </property>
  <property fmtid="{D5CDD505-2E9C-101B-9397-08002B2CF9AE}" pid="24" name="MSIP_Label_2e64f240-1db5-4acf-9bde-572066689a31_SetDate">
    <vt:lpwstr>2026-03-19T14:57:04Z</vt:lpwstr>
  </property>
  <property fmtid="{D5CDD505-2E9C-101B-9397-08002B2CF9AE}" pid="25" name="MSIP_Label_2e64f240-1db5-4acf-9bde-572066689a31_Method">
    <vt:lpwstr>Privileged</vt:lpwstr>
  </property>
  <property fmtid="{D5CDD505-2E9C-101B-9397-08002B2CF9AE}" pid="26" name="MSIP_Label_2e64f240-1db5-4acf-9bde-572066689a31_Name">
    <vt:lpwstr>ΧΩΡΙΣ ΧΑΡΑΚΤΗΡΙΣΜΟ ΑΣΦΑΛΕΙΑΣ</vt:lpwstr>
  </property>
  <property fmtid="{D5CDD505-2E9C-101B-9397-08002B2CF9AE}" pid="27" name="MSIP_Label_2e64f240-1db5-4acf-9bde-572066689a31_SiteId">
    <vt:lpwstr>dabae695-3d3b-4e5d-ab49-009605ba5c68</vt:lpwstr>
  </property>
  <property fmtid="{D5CDD505-2E9C-101B-9397-08002B2CF9AE}" pid="28" name="MSIP_Label_2e64f240-1db5-4acf-9bde-572066689a31_ActionId">
    <vt:lpwstr>61735dcf-7084-4b28-bdda-77301018f3ff</vt:lpwstr>
  </property>
  <property fmtid="{D5CDD505-2E9C-101B-9397-08002B2CF9AE}" pid="29" name="MSIP_Label_2e64f240-1db5-4acf-9bde-572066689a31_ContentBits">
    <vt:lpwstr>0</vt:lpwstr>
  </property>
  <property fmtid="{D5CDD505-2E9C-101B-9397-08002B2CF9AE}" pid="30" name="MSIP_Label_2e64f240-1db5-4acf-9bde-572066689a31_Tag">
    <vt:lpwstr>10, 0, 1, 1</vt:lpwstr>
  </property>
</Properties>
</file>